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0F316D">
      <w:pPr>
        <w:jc w:val="center"/>
        <w:rPr>
          <w:rFonts w:ascii="Garamond" w:hAnsi="Garamond" w:eastAsia="黑体"/>
          <w:b/>
          <w:color w:val="000000" w:themeColor="text1"/>
          <w:spacing w:val="6"/>
          <w:kern w:val="0"/>
          <w:sz w:val="44"/>
          <w:szCs w:val="44"/>
          <w:highlight w:val="none"/>
          <w14:textFill>
            <w14:solidFill>
              <w14:schemeClr w14:val="tx1"/>
            </w14:solidFill>
          </w14:textFill>
        </w:rPr>
      </w:pPr>
      <w:bookmarkStart w:id="0" w:name="_Hlk36455775"/>
    </w:p>
    <w:p w14:paraId="4CB66937">
      <w:pPr>
        <w:jc w:val="center"/>
        <w:rPr>
          <w:rFonts w:hint="eastAsia" w:ascii="宋体" w:hAnsi="宋体" w:eastAsia="宋体" w:cs="宋体"/>
          <w:b/>
          <w:color w:val="000000" w:themeColor="text1"/>
          <w:spacing w:val="6"/>
          <w:kern w:val="0"/>
          <w:sz w:val="44"/>
          <w:szCs w:val="44"/>
          <w:highlight w:val="none"/>
          <w:lang w:eastAsia="zh-CN"/>
          <w14:textFill>
            <w14:solidFill>
              <w14:schemeClr w14:val="tx1"/>
            </w14:solidFill>
          </w14:textFill>
        </w:rPr>
      </w:pPr>
      <w:r>
        <w:rPr>
          <w:rFonts w:hint="eastAsia" w:ascii="宋体" w:hAnsi="宋体" w:eastAsia="宋体" w:cs="宋体"/>
          <w:b/>
          <w:color w:val="000000" w:themeColor="text1"/>
          <w:spacing w:val="6"/>
          <w:kern w:val="0"/>
          <w:sz w:val="44"/>
          <w:szCs w:val="44"/>
          <w:highlight w:val="none"/>
          <w:lang w:eastAsia="zh-CN"/>
          <w14:textFill>
            <w14:solidFill>
              <w14:schemeClr w14:val="tx1"/>
            </w14:solidFill>
          </w14:textFill>
        </w:rPr>
        <w:t>525省道（328国道-沪陕高速）快速化改造方案研究项目</w:t>
      </w:r>
    </w:p>
    <w:p w14:paraId="6A3B6025">
      <w:pPr>
        <w:jc w:val="center"/>
        <w:rPr>
          <w:rFonts w:hint="eastAsia" w:ascii="宋体" w:hAnsi="宋体" w:eastAsia="宋体" w:cs="宋体"/>
          <w:b/>
          <w:color w:val="000000" w:themeColor="text1"/>
          <w:spacing w:val="6"/>
          <w:kern w:val="0"/>
          <w:sz w:val="32"/>
          <w:szCs w:val="32"/>
          <w:highlight w:val="none"/>
          <w14:textFill>
            <w14:solidFill>
              <w14:schemeClr w14:val="tx1"/>
            </w14:solidFill>
          </w14:textFill>
        </w:rPr>
      </w:pPr>
      <w:r>
        <w:rPr>
          <w:rFonts w:hint="eastAsia" w:ascii="宋体" w:hAnsi="宋体" w:eastAsia="宋体" w:cs="宋体"/>
          <w:b/>
          <w:color w:val="000000" w:themeColor="text1"/>
          <w:spacing w:val="6"/>
          <w:kern w:val="0"/>
          <w:sz w:val="32"/>
          <w:szCs w:val="32"/>
          <w:highlight w:val="none"/>
          <w14:textFill>
            <w14:solidFill>
              <w14:schemeClr w14:val="tx1"/>
            </w14:solidFill>
          </w14:textFill>
        </w:rPr>
        <w:t>（</w:t>
      </w:r>
      <w:bookmarkEnd w:id="0"/>
      <w:bookmarkStart w:id="1" w:name="_Toc196474969"/>
      <w:bookmarkStart w:id="2" w:name="_Toc144974478"/>
      <w:bookmarkStart w:id="3" w:name="_Toc152042286"/>
      <w:r>
        <w:rPr>
          <w:rFonts w:hint="eastAsia" w:ascii="宋体" w:hAnsi="宋体" w:eastAsia="宋体" w:cs="宋体"/>
          <w:b/>
          <w:bCs/>
          <w:color w:val="000000" w:themeColor="text1"/>
          <w:kern w:val="0"/>
          <w:sz w:val="32"/>
          <w:szCs w:val="32"/>
          <w:highlight w:val="none"/>
          <w:lang w:eastAsia="zh-CN"/>
          <w14:textFill>
            <w14:solidFill>
              <w14:schemeClr w14:val="tx1"/>
            </w14:solidFill>
          </w14:textFill>
        </w:rPr>
        <w:t>2025GCGZ标段</w:t>
      </w:r>
      <w:r>
        <w:rPr>
          <w:rFonts w:hint="eastAsia" w:ascii="宋体" w:hAnsi="宋体" w:eastAsia="宋体" w:cs="宋体"/>
          <w:b/>
          <w:color w:val="000000" w:themeColor="text1"/>
          <w:spacing w:val="6"/>
          <w:kern w:val="0"/>
          <w:sz w:val="32"/>
          <w:szCs w:val="32"/>
          <w:highlight w:val="none"/>
          <w14:textFill>
            <w14:solidFill>
              <w14:schemeClr w14:val="tx1"/>
            </w14:solidFill>
          </w14:textFill>
        </w:rPr>
        <w:t>）</w:t>
      </w:r>
    </w:p>
    <w:p w14:paraId="3C1D50A4">
      <w:pPr>
        <w:kinsoku w:val="0"/>
        <w:overflowPunct w:val="0"/>
        <w:autoSpaceDE w:val="0"/>
        <w:autoSpaceDN w:val="0"/>
        <w:adjustRightInd w:val="0"/>
        <w:snapToGrid w:val="0"/>
        <w:ind w:right="-27" w:rightChars="-13"/>
        <w:jc w:val="center"/>
        <w:rPr>
          <w:rFonts w:ascii="Garamond" w:hAnsi="Garamond"/>
          <w:color w:val="000000" w:themeColor="text1"/>
          <w:sz w:val="36"/>
          <w:highlight w:val="none"/>
          <w14:textFill>
            <w14:solidFill>
              <w14:schemeClr w14:val="tx1"/>
            </w14:solidFill>
          </w14:textFill>
        </w:rPr>
      </w:pPr>
    </w:p>
    <w:p w14:paraId="6AB5FE4C">
      <w:pPr>
        <w:kinsoku w:val="0"/>
        <w:overflowPunct w:val="0"/>
        <w:autoSpaceDE w:val="0"/>
        <w:autoSpaceDN w:val="0"/>
        <w:adjustRightInd w:val="0"/>
        <w:snapToGrid w:val="0"/>
        <w:ind w:right="-27" w:rightChars="-13"/>
        <w:jc w:val="center"/>
        <w:rPr>
          <w:rFonts w:ascii="Garamond" w:hAnsi="Garamond"/>
          <w:color w:val="000000" w:themeColor="text1"/>
          <w:sz w:val="36"/>
          <w:highlight w:val="none"/>
          <w14:textFill>
            <w14:solidFill>
              <w14:schemeClr w14:val="tx1"/>
            </w14:solidFill>
          </w14:textFill>
        </w:rPr>
      </w:pPr>
    </w:p>
    <w:p w14:paraId="37E81648">
      <w:pPr>
        <w:kinsoku w:val="0"/>
        <w:overflowPunct w:val="0"/>
        <w:autoSpaceDE w:val="0"/>
        <w:autoSpaceDN w:val="0"/>
        <w:adjustRightInd w:val="0"/>
        <w:snapToGrid w:val="0"/>
        <w:ind w:right="-27" w:rightChars="-13"/>
        <w:jc w:val="center"/>
        <w:rPr>
          <w:rFonts w:ascii="Garamond" w:hAnsi="Garamond"/>
          <w:color w:val="000000" w:themeColor="text1"/>
          <w:sz w:val="36"/>
          <w:highlight w:val="none"/>
          <w14:textFill>
            <w14:solidFill>
              <w14:schemeClr w14:val="tx1"/>
            </w14:solidFill>
          </w14:textFill>
        </w:rPr>
      </w:pPr>
    </w:p>
    <w:p w14:paraId="33983125">
      <w:pPr>
        <w:kinsoku w:val="0"/>
        <w:overflowPunct w:val="0"/>
        <w:autoSpaceDE w:val="0"/>
        <w:autoSpaceDN w:val="0"/>
        <w:adjustRightInd w:val="0"/>
        <w:snapToGrid w:val="0"/>
        <w:ind w:right="-27" w:rightChars="-13"/>
        <w:jc w:val="center"/>
        <w:rPr>
          <w:rFonts w:ascii="Garamond" w:hAnsi="Garamond"/>
          <w:color w:val="000000" w:themeColor="text1"/>
          <w:sz w:val="36"/>
          <w:highlight w:val="none"/>
          <w14:textFill>
            <w14:solidFill>
              <w14:schemeClr w14:val="tx1"/>
            </w14:solidFill>
          </w14:textFill>
        </w:rPr>
      </w:pPr>
    </w:p>
    <w:p w14:paraId="735CF53E">
      <w:pPr>
        <w:kinsoku w:val="0"/>
        <w:overflowPunct w:val="0"/>
        <w:autoSpaceDE w:val="0"/>
        <w:autoSpaceDN w:val="0"/>
        <w:adjustRightInd w:val="0"/>
        <w:snapToGrid w:val="0"/>
        <w:ind w:right="-27" w:rightChars="-13"/>
        <w:jc w:val="center"/>
        <w:rPr>
          <w:rFonts w:ascii="Garamond" w:hAnsi="Garamond"/>
          <w:color w:val="000000" w:themeColor="text1"/>
          <w:sz w:val="36"/>
          <w:highlight w:val="none"/>
          <w14:textFill>
            <w14:solidFill>
              <w14:schemeClr w14:val="tx1"/>
            </w14:solidFill>
          </w14:textFill>
        </w:rPr>
      </w:pPr>
    </w:p>
    <w:p w14:paraId="41340F9E">
      <w:pPr>
        <w:kinsoku w:val="0"/>
        <w:overflowPunct w:val="0"/>
        <w:autoSpaceDE w:val="0"/>
        <w:autoSpaceDN w:val="0"/>
        <w:adjustRightInd w:val="0"/>
        <w:snapToGrid w:val="0"/>
        <w:ind w:right="-27" w:rightChars="-13"/>
        <w:jc w:val="center"/>
        <w:rPr>
          <w:rFonts w:ascii="Garamond" w:hAnsi="Garamond"/>
          <w:color w:val="000000" w:themeColor="text1"/>
          <w:sz w:val="36"/>
          <w:highlight w:val="none"/>
          <w14:textFill>
            <w14:solidFill>
              <w14:schemeClr w14:val="tx1"/>
            </w14:solidFill>
          </w14:textFill>
        </w:rPr>
      </w:pPr>
    </w:p>
    <w:p w14:paraId="1C8DEE58">
      <w:pPr>
        <w:kinsoku w:val="0"/>
        <w:overflowPunct w:val="0"/>
        <w:autoSpaceDE w:val="0"/>
        <w:autoSpaceDN w:val="0"/>
        <w:adjustRightInd w:val="0"/>
        <w:snapToGrid w:val="0"/>
        <w:ind w:right="-27" w:rightChars="-13"/>
        <w:jc w:val="center"/>
        <w:rPr>
          <w:rFonts w:ascii="Garamond" w:hAnsi="Garamond"/>
          <w:color w:val="000000" w:themeColor="text1"/>
          <w:sz w:val="36"/>
          <w:highlight w:val="none"/>
          <w14:textFill>
            <w14:solidFill>
              <w14:schemeClr w14:val="tx1"/>
            </w14:solidFill>
          </w14:textFill>
        </w:rPr>
      </w:pPr>
    </w:p>
    <w:p w14:paraId="294E0F97">
      <w:pPr>
        <w:kinsoku w:val="0"/>
        <w:overflowPunct w:val="0"/>
        <w:autoSpaceDE w:val="0"/>
        <w:autoSpaceDN w:val="0"/>
        <w:adjustRightInd w:val="0"/>
        <w:snapToGrid w:val="0"/>
        <w:ind w:right="-27" w:rightChars="-13"/>
        <w:jc w:val="center"/>
        <w:rPr>
          <w:rFonts w:ascii="Garamond" w:hAnsi="Garamond"/>
          <w:color w:val="000000" w:themeColor="text1"/>
          <w:sz w:val="36"/>
          <w:highlight w:val="none"/>
          <w14:textFill>
            <w14:solidFill>
              <w14:schemeClr w14:val="tx1"/>
            </w14:solidFill>
          </w14:textFill>
        </w:rPr>
      </w:pPr>
    </w:p>
    <w:p w14:paraId="0223C332">
      <w:pPr>
        <w:spacing w:after="240" w:line="360" w:lineRule="auto"/>
        <w:ind w:right="-27" w:rightChars="-13"/>
        <w:jc w:val="center"/>
        <w:rPr>
          <w:rFonts w:ascii="Garamond" w:hAnsi="Garamond" w:eastAsia="黑体"/>
          <w:color w:val="000000" w:themeColor="text1"/>
          <w:kern w:val="72"/>
          <w:sz w:val="24"/>
          <w:szCs w:val="72"/>
          <w:highlight w:val="none"/>
          <w:u w:val="single"/>
          <w14:textFill>
            <w14:solidFill>
              <w14:schemeClr w14:val="tx1"/>
            </w14:solidFill>
          </w14:textFill>
        </w:rPr>
      </w:pPr>
      <w:r>
        <w:rPr>
          <w:rFonts w:ascii="Garamond" w:hAnsi="Garamond" w:eastAsia="黑体"/>
          <w:b/>
          <w:color w:val="000000" w:themeColor="text1"/>
          <w:kern w:val="72"/>
          <w:sz w:val="72"/>
          <w:szCs w:val="72"/>
          <w:highlight w:val="none"/>
          <w14:textFill>
            <w14:solidFill>
              <w14:schemeClr w14:val="tx1"/>
            </w14:solidFill>
          </w14:textFill>
        </w:rPr>
        <w:t>招 标 文 件</w:t>
      </w:r>
    </w:p>
    <w:p w14:paraId="2A9348D2">
      <w:pPr>
        <w:spacing w:line="360" w:lineRule="auto"/>
        <w:ind w:right="-27" w:rightChars="-13"/>
        <w:jc w:val="center"/>
        <w:rPr>
          <w:rFonts w:ascii="Garamond" w:hAnsi="Garamond"/>
          <w:b/>
          <w:bCs/>
          <w:color w:val="000000" w:themeColor="text1"/>
          <w:spacing w:val="40"/>
          <w:sz w:val="44"/>
          <w:highlight w:val="none"/>
          <w14:textFill>
            <w14:solidFill>
              <w14:schemeClr w14:val="tx1"/>
            </w14:solidFill>
          </w14:textFill>
        </w:rPr>
      </w:pPr>
    </w:p>
    <w:p w14:paraId="7178C255">
      <w:pPr>
        <w:spacing w:line="360" w:lineRule="auto"/>
        <w:ind w:right="-27" w:rightChars="-13"/>
        <w:jc w:val="center"/>
        <w:rPr>
          <w:rFonts w:ascii="Garamond" w:hAnsi="Garamond"/>
          <w:color w:val="000000" w:themeColor="text1"/>
          <w:sz w:val="24"/>
          <w:highlight w:val="none"/>
          <w14:textFill>
            <w14:solidFill>
              <w14:schemeClr w14:val="tx1"/>
            </w14:solidFill>
          </w14:textFill>
        </w:rPr>
      </w:pPr>
    </w:p>
    <w:p w14:paraId="74FA06B1">
      <w:pPr>
        <w:spacing w:line="360" w:lineRule="auto"/>
        <w:ind w:right="-27" w:rightChars="-13"/>
        <w:jc w:val="center"/>
        <w:rPr>
          <w:rFonts w:ascii="Garamond" w:hAnsi="Garamond"/>
          <w:color w:val="000000" w:themeColor="text1"/>
          <w:sz w:val="24"/>
          <w:highlight w:val="none"/>
          <w14:textFill>
            <w14:solidFill>
              <w14:schemeClr w14:val="tx1"/>
            </w14:solidFill>
          </w14:textFill>
        </w:rPr>
      </w:pPr>
    </w:p>
    <w:p w14:paraId="22162DF1">
      <w:pPr>
        <w:spacing w:line="360" w:lineRule="auto"/>
        <w:ind w:right="-27" w:rightChars="-13"/>
        <w:jc w:val="center"/>
        <w:rPr>
          <w:rFonts w:ascii="Garamond" w:hAnsi="Garamond"/>
          <w:color w:val="000000" w:themeColor="text1"/>
          <w:sz w:val="24"/>
          <w:highlight w:val="none"/>
          <w14:textFill>
            <w14:solidFill>
              <w14:schemeClr w14:val="tx1"/>
            </w14:solidFill>
          </w14:textFill>
        </w:rPr>
      </w:pPr>
    </w:p>
    <w:p w14:paraId="65B17C29">
      <w:pPr>
        <w:spacing w:line="360" w:lineRule="auto"/>
        <w:ind w:right="-27" w:rightChars="-13"/>
        <w:jc w:val="center"/>
        <w:rPr>
          <w:rFonts w:ascii="Garamond" w:hAnsi="Garamond"/>
          <w:color w:val="000000" w:themeColor="text1"/>
          <w:sz w:val="24"/>
          <w:highlight w:val="none"/>
          <w14:textFill>
            <w14:solidFill>
              <w14:schemeClr w14:val="tx1"/>
            </w14:solidFill>
          </w14:textFill>
        </w:rPr>
      </w:pPr>
    </w:p>
    <w:p w14:paraId="6C2895A0">
      <w:pPr>
        <w:spacing w:line="360" w:lineRule="auto"/>
        <w:ind w:right="-27" w:rightChars="-13"/>
        <w:jc w:val="center"/>
        <w:rPr>
          <w:rFonts w:ascii="Garamond" w:hAnsi="Garamond"/>
          <w:color w:val="000000" w:themeColor="text1"/>
          <w:sz w:val="24"/>
          <w:highlight w:val="none"/>
          <w14:textFill>
            <w14:solidFill>
              <w14:schemeClr w14:val="tx1"/>
            </w14:solidFill>
          </w14:textFill>
        </w:rPr>
      </w:pPr>
    </w:p>
    <w:p w14:paraId="2A1A7212">
      <w:pPr>
        <w:spacing w:line="360" w:lineRule="auto"/>
        <w:ind w:firstLine="851" w:firstLineChars="200"/>
        <w:rPr>
          <w:rFonts w:ascii="Garamond" w:hAnsi="Garamond" w:eastAsia="黑体"/>
          <w:b/>
          <w:color w:val="000000" w:themeColor="text1"/>
          <w:kern w:val="0"/>
          <w:sz w:val="32"/>
          <w:szCs w:val="32"/>
          <w:highlight w:val="none"/>
          <w14:textFill>
            <w14:solidFill>
              <w14:schemeClr w14:val="tx1"/>
            </w14:solidFill>
          </w14:textFill>
        </w:rPr>
      </w:pPr>
      <w:r>
        <w:rPr>
          <w:rFonts w:ascii="Garamond" w:hAnsi="Garamond" w:eastAsia="黑体"/>
          <w:b/>
          <w:color w:val="000000" w:themeColor="text1"/>
          <w:spacing w:val="52"/>
          <w:kern w:val="0"/>
          <w:sz w:val="32"/>
          <w:szCs w:val="32"/>
          <w:highlight w:val="none"/>
          <w14:textFill>
            <w14:solidFill>
              <w14:schemeClr w14:val="tx1"/>
            </w14:solidFill>
          </w14:textFill>
        </w:rPr>
        <w:t>招标人</w:t>
      </w:r>
      <w:r>
        <w:rPr>
          <w:rFonts w:ascii="Garamond" w:hAnsi="Garamond" w:eastAsia="黑体"/>
          <w:b/>
          <w:color w:val="000000" w:themeColor="text1"/>
          <w:kern w:val="0"/>
          <w:sz w:val="32"/>
          <w:szCs w:val="32"/>
          <w:highlight w:val="none"/>
          <w14:textFill>
            <w14:solidFill>
              <w14:schemeClr w14:val="tx1"/>
            </w14:solidFill>
          </w14:textFill>
        </w:rPr>
        <w:t>：</w:t>
      </w:r>
      <w:r>
        <w:rPr>
          <w:rFonts w:hint="eastAsia" w:ascii="Garamond" w:hAnsi="Garamond" w:eastAsia="黑体"/>
          <w:b/>
          <w:color w:val="000000" w:themeColor="text1"/>
          <w:spacing w:val="80"/>
          <w:kern w:val="0"/>
          <w:sz w:val="32"/>
          <w:szCs w:val="32"/>
          <w:highlight w:val="none"/>
          <w:fitText w:val="5120" w:id="1494054922"/>
          <w14:textFill>
            <w14:solidFill>
              <w14:schemeClr w14:val="tx1"/>
            </w14:solidFill>
          </w14:textFill>
        </w:rPr>
        <w:t>南通市公路事业发展中</w:t>
      </w:r>
      <w:r>
        <w:rPr>
          <w:rFonts w:hint="eastAsia" w:ascii="Garamond" w:hAnsi="Garamond" w:eastAsia="黑体"/>
          <w:b/>
          <w:color w:val="000000" w:themeColor="text1"/>
          <w:spacing w:val="0"/>
          <w:kern w:val="0"/>
          <w:sz w:val="32"/>
          <w:szCs w:val="32"/>
          <w:highlight w:val="none"/>
          <w:fitText w:val="5120" w:id="1494054922"/>
          <w14:textFill>
            <w14:solidFill>
              <w14:schemeClr w14:val="tx1"/>
            </w14:solidFill>
          </w14:textFill>
        </w:rPr>
        <w:t>心</w:t>
      </w:r>
    </w:p>
    <w:p w14:paraId="4C97BA0C">
      <w:pPr>
        <w:spacing w:line="360" w:lineRule="auto"/>
        <w:ind w:firstLine="835" w:firstLineChars="260"/>
        <w:rPr>
          <w:rFonts w:ascii="Garamond" w:hAnsi="Garamond" w:eastAsia="黑体"/>
          <w:b/>
          <w:color w:val="000000" w:themeColor="text1"/>
          <w:kern w:val="0"/>
          <w:sz w:val="32"/>
          <w:szCs w:val="32"/>
          <w:highlight w:val="none"/>
          <w14:textFill>
            <w14:solidFill>
              <w14:schemeClr w14:val="tx1"/>
            </w14:solidFill>
          </w14:textFill>
        </w:rPr>
      </w:pPr>
      <w:r>
        <w:rPr>
          <w:rFonts w:ascii="Garamond" w:hAnsi="Garamond" w:eastAsia="黑体"/>
          <w:b/>
          <w:color w:val="000000" w:themeColor="text1"/>
          <w:kern w:val="0"/>
          <w:sz w:val="32"/>
          <w:szCs w:val="32"/>
          <w:highlight w:val="none"/>
          <w14:textFill>
            <w14:solidFill>
              <w14:schemeClr w14:val="tx1"/>
            </w14:solidFill>
          </w14:textFill>
        </w:rPr>
        <w:t>招标代理：</w:t>
      </w:r>
      <w:r>
        <w:rPr>
          <w:rFonts w:hint="eastAsia" w:ascii="Garamond" w:hAnsi="Garamond" w:eastAsia="黑体"/>
          <w:b/>
          <w:color w:val="000000" w:themeColor="text1"/>
          <w:spacing w:val="40"/>
          <w:kern w:val="0"/>
          <w:sz w:val="32"/>
          <w:szCs w:val="32"/>
          <w:highlight w:val="none"/>
          <w:fitText w:val="5120" w:id="1494054922"/>
          <w14:textFill>
            <w14:solidFill>
              <w14:schemeClr w14:val="tx1"/>
            </w14:solidFill>
          </w14:textFill>
        </w:rPr>
        <w:t>江苏睿致诚工程咨询有限公</w:t>
      </w:r>
      <w:r>
        <w:rPr>
          <w:rFonts w:hint="eastAsia" w:ascii="Garamond" w:hAnsi="Garamond" w:eastAsia="黑体"/>
          <w:b/>
          <w:color w:val="000000" w:themeColor="text1"/>
          <w:spacing w:val="0"/>
          <w:kern w:val="0"/>
          <w:sz w:val="32"/>
          <w:szCs w:val="32"/>
          <w:highlight w:val="none"/>
          <w:fitText w:val="5120" w:id="1494054922"/>
          <w14:textFill>
            <w14:solidFill>
              <w14:schemeClr w14:val="tx1"/>
            </w14:solidFill>
          </w14:textFill>
        </w:rPr>
        <w:t>司</w:t>
      </w:r>
    </w:p>
    <w:p w14:paraId="27FC3913">
      <w:pPr>
        <w:spacing w:line="360" w:lineRule="auto"/>
        <w:ind w:right="-27" w:rightChars="-13"/>
        <w:jc w:val="center"/>
        <w:rPr>
          <w:rFonts w:ascii="Garamond" w:hAnsi="Garamond" w:eastAsia="黑体"/>
          <w:b/>
          <w:color w:val="000000" w:themeColor="text1"/>
          <w:sz w:val="32"/>
          <w:szCs w:val="32"/>
          <w:highlight w:val="none"/>
          <w14:textFill>
            <w14:solidFill>
              <w14:schemeClr w14:val="tx1"/>
            </w14:solidFill>
          </w14:textFill>
        </w:rPr>
      </w:pPr>
      <w:r>
        <w:rPr>
          <w:rFonts w:ascii="Garamond" w:hAnsi="Garamond" w:eastAsia="黑体"/>
          <w:b/>
          <w:color w:val="000000" w:themeColor="text1"/>
          <w:sz w:val="32"/>
          <w:szCs w:val="32"/>
          <w:highlight w:val="none"/>
          <w14:textFill>
            <w14:solidFill>
              <w14:schemeClr w14:val="tx1"/>
            </w14:solidFill>
          </w14:textFill>
        </w:rPr>
        <w:t>二</w:t>
      </w:r>
      <w:r>
        <w:rPr>
          <w:rFonts w:ascii="黑体" w:hAnsi="黑体" w:eastAsia="黑体"/>
          <w:b/>
          <w:color w:val="000000" w:themeColor="text1"/>
          <w:sz w:val="32"/>
          <w:highlight w:val="none"/>
          <w14:textFill>
            <w14:solidFill>
              <w14:schemeClr w14:val="tx1"/>
            </w14:solidFill>
          </w14:textFill>
        </w:rPr>
        <w:t>○</w:t>
      </w:r>
      <w:bookmarkStart w:id="4" w:name="_Toc170618587"/>
      <w:bookmarkStart w:id="5" w:name="_Toc238559171"/>
      <w:bookmarkStart w:id="6" w:name="_Toc234675048"/>
      <w:bookmarkStart w:id="7" w:name="_Toc234744417"/>
      <w:bookmarkStart w:id="8" w:name="_Toc155855594"/>
      <w:bookmarkStart w:id="9" w:name="_Toc218933019"/>
      <w:r>
        <w:rPr>
          <w:rFonts w:ascii="Garamond" w:hAnsi="Garamond" w:eastAsia="黑体"/>
          <w:b/>
          <w:color w:val="000000" w:themeColor="text1"/>
          <w:sz w:val="32"/>
          <w:szCs w:val="32"/>
          <w:highlight w:val="none"/>
          <w14:textFill>
            <w14:solidFill>
              <w14:schemeClr w14:val="tx1"/>
            </w14:solidFill>
          </w14:textFill>
        </w:rPr>
        <w:t>二</w:t>
      </w:r>
      <w:r>
        <w:rPr>
          <w:rFonts w:hint="eastAsia" w:ascii="Garamond" w:hAnsi="Garamond" w:eastAsia="黑体"/>
          <w:b/>
          <w:color w:val="000000" w:themeColor="text1"/>
          <w:sz w:val="32"/>
          <w:szCs w:val="32"/>
          <w:highlight w:val="none"/>
          <w:lang w:val="en-US" w:eastAsia="zh-CN"/>
          <w14:textFill>
            <w14:solidFill>
              <w14:schemeClr w14:val="tx1"/>
            </w14:solidFill>
          </w14:textFill>
        </w:rPr>
        <w:t>五</w:t>
      </w:r>
      <w:r>
        <w:rPr>
          <w:rFonts w:ascii="Garamond" w:hAnsi="Garamond" w:eastAsia="黑体"/>
          <w:b/>
          <w:color w:val="000000" w:themeColor="text1"/>
          <w:sz w:val="32"/>
          <w:szCs w:val="32"/>
          <w:highlight w:val="none"/>
          <w14:textFill>
            <w14:solidFill>
              <w14:schemeClr w14:val="tx1"/>
            </w14:solidFill>
          </w14:textFill>
        </w:rPr>
        <w:t>年</w:t>
      </w:r>
      <w:r>
        <w:rPr>
          <w:rFonts w:hint="eastAsia" w:ascii="Garamond" w:hAnsi="Garamond" w:eastAsia="黑体"/>
          <w:b/>
          <w:color w:val="000000" w:themeColor="text1"/>
          <w:sz w:val="32"/>
          <w:szCs w:val="32"/>
          <w:highlight w:val="none"/>
          <w:lang w:val="en-US" w:eastAsia="zh-CN"/>
          <w14:textFill>
            <w14:solidFill>
              <w14:schemeClr w14:val="tx1"/>
            </w14:solidFill>
          </w14:textFill>
        </w:rPr>
        <w:t>三</w:t>
      </w:r>
      <w:r>
        <w:rPr>
          <w:rFonts w:ascii="Garamond" w:hAnsi="Garamond" w:eastAsia="黑体"/>
          <w:b/>
          <w:color w:val="000000" w:themeColor="text1"/>
          <w:sz w:val="32"/>
          <w:szCs w:val="32"/>
          <w:highlight w:val="none"/>
          <w14:textFill>
            <w14:solidFill>
              <w14:schemeClr w14:val="tx1"/>
            </w14:solidFill>
          </w14:textFill>
        </w:rPr>
        <w:t>月</w:t>
      </w:r>
    </w:p>
    <w:p w14:paraId="2A161466">
      <w:pPr>
        <w:spacing w:line="360" w:lineRule="auto"/>
        <w:ind w:right="-27" w:rightChars="-13"/>
        <w:jc w:val="center"/>
        <w:rPr>
          <w:rFonts w:ascii="Garamond" w:hAnsi="Garamond" w:eastAsia="黑体"/>
          <w:b/>
          <w:color w:val="000000" w:themeColor="text1"/>
          <w:sz w:val="32"/>
          <w:szCs w:val="32"/>
          <w:highlight w:val="none"/>
          <w14:textFill>
            <w14:solidFill>
              <w14:schemeClr w14:val="tx1"/>
            </w14:solidFill>
          </w14:textFill>
        </w:rPr>
      </w:pPr>
    </w:p>
    <w:p w14:paraId="3A0C681A">
      <w:pPr>
        <w:pStyle w:val="2"/>
        <w:spacing w:before="0" w:after="0" w:line="360" w:lineRule="auto"/>
        <w:jc w:val="center"/>
        <w:rPr>
          <w:rFonts w:ascii="Garamond" w:hAnsi="Garamond"/>
          <w:color w:val="000000" w:themeColor="text1"/>
          <w:highlight w:val="none"/>
          <w14:textFill>
            <w14:solidFill>
              <w14:schemeClr w14:val="tx1"/>
            </w14:solidFill>
          </w14:textFill>
        </w:rPr>
        <w:sectPr>
          <w:headerReference r:id="rId3" w:type="default"/>
          <w:footerReference r:id="rId5" w:type="default"/>
          <w:headerReference r:id="rId4" w:type="even"/>
          <w:footerReference r:id="rId6" w:type="even"/>
          <w:pgSz w:w="11906" w:h="16838"/>
          <w:pgMar w:top="1418" w:right="1247" w:bottom="1418" w:left="1418" w:header="851" w:footer="680" w:gutter="0"/>
          <w:pgNumType w:fmt="decimalFullWidth" w:start="1"/>
          <w:cols w:space="720" w:num="1"/>
          <w:titlePg/>
          <w:docGrid w:linePitch="312" w:charSpace="0"/>
        </w:sectPr>
      </w:pPr>
    </w:p>
    <w:bookmarkEnd w:id="4"/>
    <w:bookmarkEnd w:id="5"/>
    <w:bookmarkEnd w:id="6"/>
    <w:bookmarkEnd w:id="7"/>
    <w:bookmarkEnd w:id="8"/>
    <w:bookmarkEnd w:id="9"/>
    <w:p w14:paraId="491E9816">
      <w:pPr>
        <w:adjustRightInd w:val="0"/>
        <w:snapToGrid w:val="0"/>
        <w:spacing w:line="360" w:lineRule="auto"/>
        <w:ind w:firstLine="482"/>
        <w:jc w:val="center"/>
        <w:rPr>
          <w:rFonts w:ascii="Garamond" w:hAnsi="Garamond"/>
          <w:b/>
          <w:color w:val="000000" w:themeColor="text1"/>
          <w:sz w:val="44"/>
          <w:szCs w:val="44"/>
          <w:highlight w:val="none"/>
          <w14:textFill>
            <w14:solidFill>
              <w14:schemeClr w14:val="tx1"/>
            </w14:solidFill>
          </w14:textFill>
        </w:rPr>
      </w:pPr>
      <w:r>
        <w:rPr>
          <w:rFonts w:ascii="Garamond" w:hAnsi="Garamond"/>
          <w:b/>
          <w:color w:val="000000" w:themeColor="text1"/>
          <w:sz w:val="44"/>
          <w:szCs w:val="44"/>
          <w:highlight w:val="none"/>
          <w14:textFill>
            <w14:solidFill>
              <w14:schemeClr w14:val="tx1"/>
            </w14:solidFill>
          </w14:textFill>
        </w:rPr>
        <w:t>目  录</w:t>
      </w:r>
      <w:bookmarkEnd w:id="1"/>
    </w:p>
    <w:p w14:paraId="0FAC3A42">
      <w:pPr>
        <w:pStyle w:val="29"/>
        <w:keepNext w:val="0"/>
        <w:keepLines w:val="0"/>
        <w:pageBreakBefore w:val="0"/>
        <w:widowControl w:val="0"/>
        <w:tabs>
          <w:tab w:val="right" w:leader="dot" w:pos="9214"/>
        </w:tabs>
        <w:kinsoku/>
        <w:wordWrap/>
        <w:overflowPunct/>
        <w:topLinePunct w:val="0"/>
        <w:autoSpaceDE/>
        <w:autoSpaceDN/>
        <w:bidi w:val="0"/>
        <w:adjustRightInd w:val="0"/>
        <w:snapToGrid w:val="0"/>
        <w:spacing w:line="360" w:lineRule="auto"/>
        <w:ind w:left="0" w:leftChars="0"/>
        <w:textAlignment w:val="auto"/>
        <w:rPr>
          <w:rFonts w:hint="eastAsia" w:ascii="宋体" w:hAnsi="宋体" w:eastAsia="宋体" w:cs="宋体"/>
          <w:color w:val="000000" w:themeColor="text1"/>
          <w:spacing w:val="0"/>
          <w:w w:val="100"/>
          <w:sz w:val="28"/>
          <w:szCs w:val="28"/>
          <w:highlight w:val="none"/>
          <w14:textFill>
            <w14:solidFill>
              <w14:schemeClr w14:val="tx1"/>
            </w14:solidFill>
          </w14:textFill>
        </w:rPr>
      </w:pPr>
      <w:r>
        <w:rPr>
          <w:rFonts w:ascii="Garamond" w:hAnsi="Garamond"/>
          <w:color w:val="000000" w:themeColor="text1"/>
          <w:sz w:val="28"/>
          <w:szCs w:val="28"/>
          <w:highlight w:val="none"/>
          <w14:textFill>
            <w14:solidFill>
              <w14:schemeClr w14:val="tx1"/>
            </w14:solidFill>
          </w14:textFill>
        </w:rPr>
        <w:fldChar w:fldCharType="begin"/>
      </w:r>
      <w:r>
        <w:rPr>
          <w:rFonts w:ascii="Garamond" w:hAnsi="Garamond"/>
          <w:color w:val="000000" w:themeColor="text1"/>
          <w:sz w:val="28"/>
          <w:szCs w:val="28"/>
          <w:highlight w:val="none"/>
          <w14:textFill>
            <w14:solidFill>
              <w14:schemeClr w14:val="tx1"/>
            </w14:solidFill>
          </w14:textFill>
        </w:rPr>
        <w:instrText xml:space="preserve"> TOC \o "1-2" \h \z \u </w:instrText>
      </w:r>
      <w:r>
        <w:rPr>
          <w:rFonts w:ascii="Garamond" w:hAnsi="Garamond"/>
          <w:color w:val="000000" w:themeColor="text1"/>
          <w:sz w:val="28"/>
          <w:szCs w:val="28"/>
          <w:highlight w:val="none"/>
          <w14:textFill>
            <w14:solidFill>
              <w14:schemeClr w14:val="tx1"/>
            </w14:solidFill>
          </w14:textFill>
        </w:rPr>
        <w:fldChar w:fldCharType="separate"/>
      </w:r>
      <w:r>
        <w:rPr>
          <w:rFonts w:hint="eastAsia" w:ascii="宋体" w:hAnsi="宋体" w:eastAsia="宋体" w:cs="宋体"/>
          <w:spacing w:val="0"/>
          <w:w w:val="100"/>
          <w:sz w:val="28"/>
          <w:szCs w:val="28"/>
          <w:highlight w:val="none"/>
        </w:rPr>
        <w:fldChar w:fldCharType="begin"/>
      </w:r>
      <w:r>
        <w:rPr>
          <w:rFonts w:hint="eastAsia" w:ascii="宋体" w:hAnsi="宋体" w:eastAsia="宋体" w:cs="宋体"/>
          <w:spacing w:val="0"/>
          <w:w w:val="100"/>
          <w:sz w:val="28"/>
          <w:szCs w:val="28"/>
          <w:highlight w:val="none"/>
        </w:rPr>
        <w:instrText xml:space="preserve"> HYPERLINK \l "_Toc353197071" </w:instrText>
      </w:r>
      <w:r>
        <w:rPr>
          <w:rFonts w:hint="eastAsia" w:ascii="宋体" w:hAnsi="宋体" w:eastAsia="宋体" w:cs="宋体"/>
          <w:spacing w:val="0"/>
          <w:w w:val="100"/>
          <w:sz w:val="28"/>
          <w:szCs w:val="28"/>
          <w:highlight w:val="none"/>
        </w:rPr>
        <w:fldChar w:fldCharType="separate"/>
      </w:r>
      <w:r>
        <w:rPr>
          <w:rStyle w:val="54"/>
          <w:rFonts w:hint="eastAsia" w:ascii="宋体" w:hAnsi="宋体" w:eastAsia="宋体" w:cs="宋体"/>
          <w:snapToGrid w:val="0"/>
          <w:color w:val="000000" w:themeColor="text1"/>
          <w:spacing w:val="0"/>
          <w:w w:val="100"/>
          <w:kern w:val="0"/>
          <w:sz w:val="28"/>
          <w:szCs w:val="28"/>
          <w:highlight w:val="none"/>
          <w14:textFill>
            <w14:solidFill>
              <w14:schemeClr w14:val="tx1"/>
            </w14:solidFill>
          </w14:textFill>
        </w:rPr>
        <w:t>第 一 卷</w:t>
      </w:r>
      <w:r>
        <w:rPr>
          <w:rFonts w:hint="eastAsia" w:ascii="宋体" w:hAnsi="宋体" w:eastAsia="宋体" w:cs="宋体"/>
          <w:color w:val="000000" w:themeColor="text1"/>
          <w:spacing w:val="0"/>
          <w:w w:val="100"/>
          <w:sz w:val="28"/>
          <w:szCs w:val="28"/>
          <w:highlight w:val="none"/>
          <w14:textFill>
            <w14:solidFill>
              <w14:schemeClr w14:val="tx1"/>
            </w14:solidFill>
          </w14:textFill>
        </w:rPr>
        <w:tab/>
      </w:r>
      <w:r>
        <w:rPr>
          <w:rFonts w:hint="eastAsia" w:ascii="宋体" w:hAnsi="宋体" w:cs="宋体"/>
          <w:color w:val="000000" w:themeColor="text1"/>
          <w:spacing w:val="0"/>
          <w:w w:val="100"/>
          <w:sz w:val="28"/>
          <w:szCs w:val="28"/>
          <w:highlight w:val="none"/>
          <w:lang w:val="en-US" w:eastAsia="zh-CN"/>
          <w14:textFill>
            <w14:solidFill>
              <w14:schemeClr w14:val="tx1"/>
            </w14:solidFill>
          </w14:textFill>
        </w:rPr>
        <w:t>1</w:t>
      </w:r>
      <w:r>
        <w:rPr>
          <w:rFonts w:hint="eastAsia" w:ascii="宋体" w:hAnsi="宋体" w:eastAsia="宋体" w:cs="宋体"/>
          <w:color w:val="000000" w:themeColor="text1"/>
          <w:spacing w:val="0"/>
          <w:w w:val="100"/>
          <w:sz w:val="28"/>
          <w:szCs w:val="28"/>
          <w:highlight w:val="none"/>
          <w14:textFill>
            <w14:solidFill>
              <w14:schemeClr w14:val="tx1"/>
            </w14:solidFill>
          </w14:textFill>
        </w:rPr>
        <w:fldChar w:fldCharType="end"/>
      </w:r>
    </w:p>
    <w:p w14:paraId="30401E63">
      <w:pPr>
        <w:pStyle w:val="36"/>
        <w:keepNext w:val="0"/>
        <w:keepLines w:val="0"/>
        <w:pageBreakBefore w:val="0"/>
        <w:widowControl w:val="0"/>
        <w:tabs>
          <w:tab w:val="right" w:leader="dot" w:pos="9214"/>
        </w:tabs>
        <w:kinsoku/>
        <w:wordWrap/>
        <w:overflowPunct/>
        <w:topLinePunct w:val="0"/>
        <w:autoSpaceDE/>
        <w:autoSpaceDN/>
        <w:bidi w:val="0"/>
        <w:adjustRightInd w:val="0"/>
        <w:snapToGrid w:val="0"/>
        <w:spacing w:line="360" w:lineRule="auto"/>
        <w:ind w:left="0" w:leftChars="0"/>
        <w:textAlignment w:val="auto"/>
        <w:rPr>
          <w:rFonts w:hint="eastAsia" w:ascii="宋体" w:hAnsi="宋体" w:eastAsia="宋体" w:cs="宋体"/>
          <w:color w:val="000000" w:themeColor="text1"/>
          <w:spacing w:val="0"/>
          <w:w w:val="100"/>
          <w:sz w:val="28"/>
          <w:szCs w:val="28"/>
          <w:highlight w:val="none"/>
          <w14:textFill>
            <w14:solidFill>
              <w14:schemeClr w14:val="tx1"/>
            </w14:solidFill>
          </w14:textFill>
        </w:rPr>
      </w:pPr>
      <w:r>
        <w:rPr>
          <w:rFonts w:hint="eastAsia" w:ascii="宋体" w:hAnsi="宋体" w:eastAsia="宋体" w:cs="宋体"/>
          <w:spacing w:val="0"/>
          <w:w w:val="100"/>
          <w:sz w:val="28"/>
          <w:szCs w:val="28"/>
          <w:highlight w:val="none"/>
        </w:rPr>
        <w:fldChar w:fldCharType="begin"/>
      </w:r>
      <w:r>
        <w:rPr>
          <w:rFonts w:hint="eastAsia" w:ascii="宋体" w:hAnsi="宋体" w:eastAsia="宋体" w:cs="宋体"/>
          <w:spacing w:val="0"/>
          <w:w w:val="100"/>
          <w:sz w:val="28"/>
          <w:szCs w:val="28"/>
          <w:highlight w:val="none"/>
        </w:rPr>
        <w:instrText xml:space="preserve"> HYPERLINK \l "_Toc353197072" </w:instrText>
      </w:r>
      <w:r>
        <w:rPr>
          <w:rFonts w:hint="eastAsia" w:ascii="宋体" w:hAnsi="宋体" w:eastAsia="宋体" w:cs="宋体"/>
          <w:spacing w:val="0"/>
          <w:w w:val="100"/>
          <w:sz w:val="28"/>
          <w:szCs w:val="28"/>
          <w:highlight w:val="none"/>
        </w:rPr>
        <w:fldChar w:fldCharType="separate"/>
      </w:r>
      <w:r>
        <w:rPr>
          <w:rStyle w:val="54"/>
          <w:rFonts w:hint="eastAsia" w:ascii="宋体" w:hAnsi="宋体" w:eastAsia="宋体" w:cs="宋体"/>
          <w:color w:val="000000" w:themeColor="text1"/>
          <w:spacing w:val="0"/>
          <w:w w:val="100"/>
          <w:sz w:val="28"/>
          <w:szCs w:val="28"/>
          <w:highlight w:val="none"/>
          <w14:textFill>
            <w14:solidFill>
              <w14:schemeClr w14:val="tx1"/>
            </w14:solidFill>
          </w14:textFill>
        </w:rPr>
        <w:t>第一章 招标公告</w:t>
      </w:r>
      <w:r>
        <w:rPr>
          <w:rFonts w:hint="eastAsia" w:ascii="宋体" w:hAnsi="宋体" w:eastAsia="宋体" w:cs="宋体"/>
          <w:color w:val="000000" w:themeColor="text1"/>
          <w:spacing w:val="0"/>
          <w:w w:val="100"/>
          <w:sz w:val="28"/>
          <w:szCs w:val="28"/>
          <w:highlight w:val="none"/>
          <w14:textFill>
            <w14:solidFill>
              <w14:schemeClr w14:val="tx1"/>
            </w14:solidFill>
          </w14:textFill>
        </w:rPr>
        <w:tab/>
      </w:r>
      <w:r>
        <w:rPr>
          <w:rFonts w:hint="eastAsia" w:ascii="宋体" w:hAnsi="宋体" w:cs="宋体"/>
          <w:color w:val="000000" w:themeColor="text1"/>
          <w:spacing w:val="0"/>
          <w:w w:val="100"/>
          <w:sz w:val="28"/>
          <w:szCs w:val="28"/>
          <w:highlight w:val="none"/>
          <w:lang w:val="en-US" w:eastAsia="zh-CN"/>
          <w14:textFill>
            <w14:solidFill>
              <w14:schemeClr w14:val="tx1"/>
            </w14:solidFill>
          </w14:textFill>
        </w:rPr>
        <w:t>2</w:t>
      </w:r>
      <w:r>
        <w:rPr>
          <w:rFonts w:hint="eastAsia" w:ascii="宋体" w:hAnsi="宋体" w:eastAsia="宋体" w:cs="宋体"/>
          <w:color w:val="000000" w:themeColor="text1"/>
          <w:spacing w:val="0"/>
          <w:w w:val="100"/>
          <w:sz w:val="28"/>
          <w:szCs w:val="28"/>
          <w:highlight w:val="none"/>
          <w14:textFill>
            <w14:solidFill>
              <w14:schemeClr w14:val="tx1"/>
            </w14:solidFill>
          </w14:textFill>
        </w:rPr>
        <w:fldChar w:fldCharType="end"/>
      </w:r>
    </w:p>
    <w:p w14:paraId="6E48DC9A">
      <w:pPr>
        <w:pStyle w:val="36"/>
        <w:keepNext w:val="0"/>
        <w:keepLines w:val="0"/>
        <w:pageBreakBefore w:val="0"/>
        <w:widowControl w:val="0"/>
        <w:tabs>
          <w:tab w:val="right" w:leader="dot" w:pos="9214"/>
        </w:tabs>
        <w:kinsoku/>
        <w:wordWrap/>
        <w:overflowPunct/>
        <w:topLinePunct w:val="0"/>
        <w:autoSpaceDE/>
        <w:autoSpaceDN/>
        <w:bidi w:val="0"/>
        <w:adjustRightInd w:val="0"/>
        <w:snapToGrid w:val="0"/>
        <w:spacing w:line="360" w:lineRule="auto"/>
        <w:ind w:left="0" w:leftChars="0"/>
        <w:textAlignment w:val="auto"/>
        <w:rPr>
          <w:rFonts w:hint="eastAsia" w:ascii="宋体" w:hAnsi="宋体" w:eastAsia="宋体" w:cs="宋体"/>
          <w:color w:val="000000" w:themeColor="text1"/>
          <w:spacing w:val="0"/>
          <w:w w:val="100"/>
          <w:sz w:val="28"/>
          <w:szCs w:val="28"/>
          <w:highlight w:val="none"/>
          <w:lang w:val="en-US" w:eastAsia="zh-CN"/>
          <w14:textFill>
            <w14:solidFill>
              <w14:schemeClr w14:val="tx1"/>
            </w14:solidFill>
          </w14:textFill>
        </w:rPr>
      </w:pPr>
      <w:r>
        <w:rPr>
          <w:rFonts w:hint="eastAsia" w:ascii="宋体" w:hAnsi="宋体" w:eastAsia="宋体" w:cs="宋体"/>
          <w:spacing w:val="0"/>
          <w:w w:val="100"/>
          <w:sz w:val="28"/>
          <w:szCs w:val="28"/>
          <w:highlight w:val="none"/>
        </w:rPr>
        <w:fldChar w:fldCharType="begin"/>
      </w:r>
      <w:r>
        <w:rPr>
          <w:rFonts w:hint="eastAsia" w:ascii="宋体" w:hAnsi="宋体" w:eastAsia="宋体" w:cs="宋体"/>
          <w:spacing w:val="0"/>
          <w:w w:val="100"/>
          <w:sz w:val="28"/>
          <w:szCs w:val="28"/>
          <w:highlight w:val="none"/>
        </w:rPr>
        <w:instrText xml:space="preserve"> HYPERLINK \l "_Toc353197073" </w:instrText>
      </w:r>
      <w:r>
        <w:rPr>
          <w:rFonts w:hint="eastAsia" w:ascii="宋体" w:hAnsi="宋体" w:eastAsia="宋体" w:cs="宋体"/>
          <w:spacing w:val="0"/>
          <w:w w:val="100"/>
          <w:sz w:val="28"/>
          <w:szCs w:val="28"/>
          <w:highlight w:val="none"/>
        </w:rPr>
        <w:fldChar w:fldCharType="separate"/>
      </w:r>
      <w:r>
        <w:rPr>
          <w:rStyle w:val="54"/>
          <w:rFonts w:hint="eastAsia" w:ascii="宋体" w:hAnsi="宋体" w:eastAsia="宋体" w:cs="宋体"/>
          <w:color w:val="000000" w:themeColor="text1"/>
          <w:spacing w:val="0"/>
          <w:w w:val="100"/>
          <w:sz w:val="28"/>
          <w:szCs w:val="28"/>
          <w:highlight w:val="none"/>
          <w14:textFill>
            <w14:solidFill>
              <w14:schemeClr w14:val="tx1"/>
            </w14:solidFill>
          </w14:textFill>
        </w:rPr>
        <w:t>第二章 投标人须知</w:t>
      </w:r>
      <w:r>
        <w:rPr>
          <w:rFonts w:hint="eastAsia" w:ascii="宋体" w:hAnsi="宋体" w:eastAsia="宋体" w:cs="宋体"/>
          <w:color w:val="000000" w:themeColor="text1"/>
          <w:spacing w:val="0"/>
          <w:w w:val="100"/>
          <w:sz w:val="28"/>
          <w:szCs w:val="28"/>
          <w:highlight w:val="none"/>
          <w14:textFill>
            <w14:solidFill>
              <w14:schemeClr w14:val="tx1"/>
            </w14:solidFill>
          </w14:textFill>
        </w:rPr>
        <w:tab/>
      </w:r>
      <w:r>
        <w:rPr>
          <w:rFonts w:hint="eastAsia" w:ascii="宋体" w:hAnsi="宋体" w:eastAsia="宋体" w:cs="宋体"/>
          <w:color w:val="000000" w:themeColor="text1"/>
          <w:spacing w:val="0"/>
          <w:w w:val="100"/>
          <w:sz w:val="28"/>
          <w:szCs w:val="28"/>
          <w:highlight w:val="none"/>
          <w14:textFill>
            <w14:solidFill>
              <w14:schemeClr w14:val="tx1"/>
            </w14:solidFill>
          </w14:textFill>
        </w:rPr>
        <w:fldChar w:fldCharType="end"/>
      </w:r>
      <w:r>
        <w:rPr>
          <w:rFonts w:hint="eastAsia" w:ascii="宋体" w:hAnsi="宋体" w:cs="宋体"/>
          <w:color w:val="000000" w:themeColor="text1"/>
          <w:spacing w:val="0"/>
          <w:w w:val="100"/>
          <w:sz w:val="28"/>
          <w:szCs w:val="28"/>
          <w:highlight w:val="none"/>
          <w:lang w:val="en-US" w:eastAsia="zh-CN"/>
          <w14:textFill>
            <w14:solidFill>
              <w14:schemeClr w14:val="tx1"/>
            </w14:solidFill>
          </w14:textFill>
        </w:rPr>
        <w:t>7</w:t>
      </w:r>
    </w:p>
    <w:p w14:paraId="4F718513">
      <w:pPr>
        <w:pStyle w:val="36"/>
        <w:keepNext w:val="0"/>
        <w:keepLines w:val="0"/>
        <w:pageBreakBefore w:val="0"/>
        <w:widowControl w:val="0"/>
        <w:tabs>
          <w:tab w:val="right" w:leader="dot" w:pos="9214"/>
        </w:tabs>
        <w:kinsoku/>
        <w:wordWrap/>
        <w:overflowPunct/>
        <w:topLinePunct w:val="0"/>
        <w:autoSpaceDE/>
        <w:autoSpaceDN/>
        <w:bidi w:val="0"/>
        <w:adjustRightInd w:val="0"/>
        <w:snapToGrid w:val="0"/>
        <w:spacing w:line="360" w:lineRule="auto"/>
        <w:ind w:left="0" w:leftChars="0"/>
        <w:textAlignment w:val="auto"/>
        <w:rPr>
          <w:rFonts w:hint="eastAsia" w:ascii="宋体" w:hAnsi="宋体" w:eastAsia="宋体" w:cs="宋体"/>
          <w:color w:val="000000" w:themeColor="text1"/>
          <w:spacing w:val="0"/>
          <w:w w:val="100"/>
          <w:sz w:val="28"/>
          <w:szCs w:val="28"/>
          <w:highlight w:val="none"/>
          <w:lang w:val="en-US" w:eastAsia="zh-CN"/>
          <w14:textFill>
            <w14:solidFill>
              <w14:schemeClr w14:val="tx1"/>
            </w14:solidFill>
          </w14:textFill>
        </w:rPr>
      </w:pPr>
      <w:r>
        <w:rPr>
          <w:rFonts w:hint="eastAsia" w:ascii="宋体" w:hAnsi="宋体" w:eastAsia="宋体" w:cs="宋体"/>
          <w:spacing w:val="0"/>
          <w:w w:val="100"/>
          <w:sz w:val="28"/>
          <w:szCs w:val="28"/>
          <w:highlight w:val="none"/>
        </w:rPr>
        <w:fldChar w:fldCharType="begin"/>
      </w:r>
      <w:r>
        <w:rPr>
          <w:rFonts w:hint="eastAsia" w:ascii="宋体" w:hAnsi="宋体" w:eastAsia="宋体" w:cs="宋体"/>
          <w:spacing w:val="0"/>
          <w:w w:val="100"/>
          <w:sz w:val="28"/>
          <w:szCs w:val="28"/>
          <w:highlight w:val="none"/>
        </w:rPr>
        <w:instrText xml:space="preserve"> HYPERLINK \l "_Toc353197095" </w:instrText>
      </w:r>
      <w:r>
        <w:rPr>
          <w:rFonts w:hint="eastAsia" w:ascii="宋体" w:hAnsi="宋体" w:eastAsia="宋体" w:cs="宋体"/>
          <w:spacing w:val="0"/>
          <w:w w:val="100"/>
          <w:sz w:val="28"/>
          <w:szCs w:val="28"/>
          <w:highlight w:val="none"/>
        </w:rPr>
        <w:fldChar w:fldCharType="separate"/>
      </w:r>
      <w:r>
        <w:rPr>
          <w:rStyle w:val="54"/>
          <w:rFonts w:hint="eastAsia" w:ascii="宋体" w:hAnsi="宋体" w:eastAsia="宋体" w:cs="宋体"/>
          <w:color w:val="000000" w:themeColor="text1"/>
          <w:spacing w:val="0"/>
          <w:w w:val="100"/>
          <w:sz w:val="28"/>
          <w:szCs w:val="28"/>
          <w:highlight w:val="none"/>
          <w14:textFill>
            <w14:solidFill>
              <w14:schemeClr w14:val="tx1"/>
            </w14:solidFill>
          </w14:textFill>
        </w:rPr>
        <w:t>第三章 评标办法</w:t>
      </w:r>
      <w:r>
        <w:rPr>
          <w:rFonts w:hint="eastAsia" w:ascii="宋体" w:hAnsi="宋体" w:eastAsia="宋体" w:cs="宋体"/>
          <w:color w:val="000000" w:themeColor="text1"/>
          <w:spacing w:val="0"/>
          <w:w w:val="100"/>
          <w:sz w:val="28"/>
          <w:szCs w:val="28"/>
          <w:highlight w:val="none"/>
          <w14:textFill>
            <w14:solidFill>
              <w14:schemeClr w14:val="tx1"/>
            </w14:solidFill>
          </w14:textFill>
        </w:rPr>
        <w:tab/>
      </w:r>
      <w:r>
        <w:rPr>
          <w:rFonts w:hint="eastAsia" w:ascii="宋体" w:hAnsi="宋体" w:cs="宋体"/>
          <w:color w:val="000000" w:themeColor="text1"/>
          <w:spacing w:val="0"/>
          <w:w w:val="100"/>
          <w:sz w:val="28"/>
          <w:szCs w:val="28"/>
          <w:highlight w:val="none"/>
          <w:lang w:val="en-US" w:eastAsia="zh-CN"/>
          <w14:textFill>
            <w14:solidFill>
              <w14:schemeClr w14:val="tx1"/>
            </w14:solidFill>
          </w14:textFill>
        </w:rPr>
        <w:t>2</w:t>
      </w:r>
      <w:r>
        <w:rPr>
          <w:rFonts w:hint="eastAsia" w:ascii="宋体" w:hAnsi="宋体" w:eastAsia="宋体" w:cs="宋体"/>
          <w:color w:val="000000" w:themeColor="text1"/>
          <w:spacing w:val="0"/>
          <w:w w:val="100"/>
          <w:sz w:val="28"/>
          <w:szCs w:val="28"/>
          <w:highlight w:val="none"/>
          <w14:textFill>
            <w14:solidFill>
              <w14:schemeClr w14:val="tx1"/>
            </w14:solidFill>
          </w14:textFill>
        </w:rPr>
        <w:fldChar w:fldCharType="end"/>
      </w:r>
      <w:r>
        <w:rPr>
          <w:rFonts w:hint="eastAsia" w:ascii="宋体" w:hAnsi="宋体" w:cs="宋体"/>
          <w:color w:val="000000" w:themeColor="text1"/>
          <w:spacing w:val="0"/>
          <w:w w:val="100"/>
          <w:sz w:val="28"/>
          <w:szCs w:val="28"/>
          <w:highlight w:val="none"/>
          <w:lang w:val="en-US" w:eastAsia="zh-CN"/>
          <w14:textFill>
            <w14:solidFill>
              <w14:schemeClr w14:val="tx1"/>
            </w14:solidFill>
          </w14:textFill>
        </w:rPr>
        <w:t>5</w:t>
      </w:r>
    </w:p>
    <w:p w14:paraId="5D17602E">
      <w:pPr>
        <w:pStyle w:val="36"/>
        <w:keepNext w:val="0"/>
        <w:keepLines w:val="0"/>
        <w:pageBreakBefore w:val="0"/>
        <w:widowControl w:val="0"/>
        <w:tabs>
          <w:tab w:val="right" w:leader="dot" w:pos="9214"/>
        </w:tabs>
        <w:kinsoku/>
        <w:wordWrap/>
        <w:overflowPunct/>
        <w:topLinePunct w:val="0"/>
        <w:autoSpaceDE/>
        <w:autoSpaceDN/>
        <w:bidi w:val="0"/>
        <w:adjustRightInd w:val="0"/>
        <w:snapToGrid w:val="0"/>
        <w:spacing w:line="360" w:lineRule="auto"/>
        <w:ind w:left="0" w:leftChars="0"/>
        <w:textAlignment w:val="auto"/>
        <w:rPr>
          <w:rFonts w:hint="eastAsia" w:ascii="宋体" w:hAnsi="宋体" w:eastAsia="宋体" w:cs="宋体"/>
          <w:color w:val="000000" w:themeColor="text1"/>
          <w:spacing w:val="0"/>
          <w:w w:val="100"/>
          <w:sz w:val="28"/>
          <w:szCs w:val="28"/>
          <w:highlight w:val="none"/>
          <w:lang w:val="en-US" w:eastAsia="zh-CN"/>
          <w14:textFill>
            <w14:solidFill>
              <w14:schemeClr w14:val="tx1"/>
            </w14:solidFill>
          </w14:textFill>
        </w:rPr>
      </w:pPr>
      <w:r>
        <w:rPr>
          <w:rFonts w:hint="eastAsia" w:ascii="宋体" w:hAnsi="宋体" w:eastAsia="宋体" w:cs="宋体"/>
          <w:spacing w:val="0"/>
          <w:w w:val="100"/>
          <w:sz w:val="28"/>
          <w:szCs w:val="28"/>
          <w:highlight w:val="none"/>
        </w:rPr>
        <w:fldChar w:fldCharType="begin"/>
      </w:r>
      <w:r>
        <w:rPr>
          <w:rFonts w:hint="eastAsia" w:ascii="宋体" w:hAnsi="宋体" w:eastAsia="宋体" w:cs="宋体"/>
          <w:spacing w:val="0"/>
          <w:w w:val="100"/>
          <w:sz w:val="28"/>
          <w:szCs w:val="28"/>
          <w:highlight w:val="none"/>
        </w:rPr>
        <w:instrText xml:space="preserve"> HYPERLINK \l "_Toc353197096" </w:instrText>
      </w:r>
      <w:r>
        <w:rPr>
          <w:rFonts w:hint="eastAsia" w:ascii="宋体" w:hAnsi="宋体" w:eastAsia="宋体" w:cs="宋体"/>
          <w:spacing w:val="0"/>
          <w:w w:val="100"/>
          <w:sz w:val="28"/>
          <w:szCs w:val="28"/>
          <w:highlight w:val="none"/>
        </w:rPr>
        <w:fldChar w:fldCharType="separate"/>
      </w:r>
      <w:r>
        <w:rPr>
          <w:rStyle w:val="54"/>
          <w:rFonts w:hint="eastAsia" w:ascii="宋体" w:hAnsi="宋体" w:eastAsia="宋体" w:cs="宋体"/>
          <w:color w:val="000000" w:themeColor="text1"/>
          <w:spacing w:val="0"/>
          <w:w w:val="100"/>
          <w:sz w:val="28"/>
          <w:szCs w:val="28"/>
          <w:highlight w:val="none"/>
          <w14:textFill>
            <w14:solidFill>
              <w14:schemeClr w14:val="tx1"/>
            </w14:solidFill>
          </w14:textFill>
        </w:rPr>
        <w:t>第四章 合同条款及格式</w:t>
      </w:r>
      <w:r>
        <w:rPr>
          <w:rFonts w:hint="eastAsia" w:ascii="宋体" w:hAnsi="宋体" w:eastAsia="宋体" w:cs="宋体"/>
          <w:color w:val="000000" w:themeColor="text1"/>
          <w:spacing w:val="0"/>
          <w:w w:val="100"/>
          <w:sz w:val="28"/>
          <w:szCs w:val="28"/>
          <w:highlight w:val="none"/>
          <w14:textFill>
            <w14:solidFill>
              <w14:schemeClr w14:val="tx1"/>
            </w14:solidFill>
          </w14:textFill>
        </w:rPr>
        <w:tab/>
      </w:r>
      <w:r>
        <w:rPr>
          <w:rFonts w:hint="eastAsia" w:ascii="宋体" w:hAnsi="宋体" w:cs="宋体"/>
          <w:color w:val="000000" w:themeColor="text1"/>
          <w:spacing w:val="0"/>
          <w:w w:val="100"/>
          <w:sz w:val="28"/>
          <w:szCs w:val="28"/>
          <w:highlight w:val="none"/>
          <w:lang w:val="en-US" w:eastAsia="zh-CN"/>
          <w14:textFill>
            <w14:solidFill>
              <w14:schemeClr w14:val="tx1"/>
            </w14:solidFill>
          </w14:textFill>
        </w:rPr>
        <w:t>3</w:t>
      </w:r>
      <w:r>
        <w:rPr>
          <w:rFonts w:hint="eastAsia" w:ascii="宋体" w:hAnsi="宋体" w:eastAsia="宋体" w:cs="宋体"/>
          <w:color w:val="000000" w:themeColor="text1"/>
          <w:spacing w:val="0"/>
          <w:w w:val="100"/>
          <w:sz w:val="28"/>
          <w:szCs w:val="28"/>
          <w:highlight w:val="none"/>
          <w14:textFill>
            <w14:solidFill>
              <w14:schemeClr w14:val="tx1"/>
            </w14:solidFill>
          </w14:textFill>
        </w:rPr>
        <w:fldChar w:fldCharType="end"/>
      </w:r>
      <w:r>
        <w:rPr>
          <w:rFonts w:hint="eastAsia" w:ascii="宋体" w:hAnsi="宋体" w:cs="宋体"/>
          <w:color w:val="000000" w:themeColor="text1"/>
          <w:spacing w:val="0"/>
          <w:w w:val="100"/>
          <w:sz w:val="28"/>
          <w:szCs w:val="28"/>
          <w:highlight w:val="none"/>
          <w:lang w:val="en-US" w:eastAsia="zh-CN"/>
          <w14:textFill>
            <w14:solidFill>
              <w14:schemeClr w14:val="tx1"/>
            </w14:solidFill>
          </w14:textFill>
        </w:rPr>
        <w:t>5</w:t>
      </w:r>
    </w:p>
    <w:p w14:paraId="4C9B8FC3">
      <w:pPr>
        <w:pStyle w:val="29"/>
        <w:keepNext w:val="0"/>
        <w:keepLines w:val="0"/>
        <w:pageBreakBefore w:val="0"/>
        <w:widowControl w:val="0"/>
        <w:tabs>
          <w:tab w:val="right" w:leader="dot" w:pos="9214"/>
        </w:tabs>
        <w:kinsoku/>
        <w:wordWrap/>
        <w:overflowPunct/>
        <w:topLinePunct w:val="0"/>
        <w:autoSpaceDE/>
        <w:autoSpaceDN/>
        <w:bidi w:val="0"/>
        <w:adjustRightInd w:val="0"/>
        <w:snapToGrid w:val="0"/>
        <w:spacing w:line="360" w:lineRule="auto"/>
        <w:ind w:left="0" w:leftChars="0"/>
        <w:textAlignment w:val="auto"/>
        <w:rPr>
          <w:rFonts w:hint="eastAsia" w:ascii="宋体" w:hAnsi="宋体" w:eastAsia="宋体" w:cs="宋体"/>
          <w:color w:val="000000" w:themeColor="text1"/>
          <w:spacing w:val="0"/>
          <w:w w:val="100"/>
          <w:sz w:val="28"/>
          <w:szCs w:val="28"/>
          <w:highlight w:val="none"/>
          <w:lang w:val="en-US" w:eastAsia="zh-CN"/>
          <w14:textFill>
            <w14:solidFill>
              <w14:schemeClr w14:val="tx1"/>
            </w14:solidFill>
          </w14:textFill>
        </w:rPr>
      </w:pPr>
      <w:r>
        <w:rPr>
          <w:rFonts w:hint="eastAsia" w:ascii="宋体" w:hAnsi="宋体" w:eastAsia="宋体" w:cs="宋体"/>
          <w:spacing w:val="0"/>
          <w:w w:val="100"/>
          <w:sz w:val="28"/>
          <w:szCs w:val="28"/>
          <w:highlight w:val="none"/>
        </w:rPr>
        <w:fldChar w:fldCharType="begin"/>
      </w:r>
      <w:r>
        <w:rPr>
          <w:rFonts w:hint="eastAsia" w:ascii="宋体" w:hAnsi="宋体" w:eastAsia="宋体" w:cs="宋体"/>
          <w:spacing w:val="0"/>
          <w:w w:val="100"/>
          <w:sz w:val="28"/>
          <w:szCs w:val="28"/>
          <w:highlight w:val="none"/>
        </w:rPr>
        <w:instrText xml:space="preserve"> HYPERLINK \l "_Toc353197102" </w:instrText>
      </w:r>
      <w:r>
        <w:rPr>
          <w:rFonts w:hint="eastAsia" w:ascii="宋体" w:hAnsi="宋体" w:eastAsia="宋体" w:cs="宋体"/>
          <w:spacing w:val="0"/>
          <w:w w:val="100"/>
          <w:sz w:val="28"/>
          <w:szCs w:val="28"/>
          <w:highlight w:val="none"/>
        </w:rPr>
        <w:fldChar w:fldCharType="separate"/>
      </w:r>
      <w:r>
        <w:rPr>
          <w:rStyle w:val="54"/>
          <w:rFonts w:hint="eastAsia" w:ascii="宋体" w:hAnsi="宋体" w:eastAsia="宋体" w:cs="宋体"/>
          <w:snapToGrid w:val="0"/>
          <w:color w:val="000000" w:themeColor="text1"/>
          <w:spacing w:val="0"/>
          <w:w w:val="100"/>
          <w:kern w:val="0"/>
          <w:sz w:val="28"/>
          <w:szCs w:val="28"/>
          <w:highlight w:val="none"/>
          <w14:textFill>
            <w14:solidFill>
              <w14:schemeClr w14:val="tx1"/>
            </w14:solidFill>
          </w14:textFill>
        </w:rPr>
        <w:t>第 二 卷</w:t>
      </w:r>
      <w:bookmarkStart w:id="10" w:name="_Hlt404869482"/>
      <w:bookmarkStart w:id="11" w:name="_Hlt404869483"/>
      <w:r>
        <w:rPr>
          <w:rFonts w:hint="eastAsia" w:ascii="宋体" w:hAnsi="宋体" w:eastAsia="宋体" w:cs="宋体"/>
          <w:color w:val="000000" w:themeColor="text1"/>
          <w:spacing w:val="0"/>
          <w:w w:val="100"/>
          <w:sz w:val="28"/>
          <w:szCs w:val="28"/>
          <w:highlight w:val="none"/>
          <w14:textFill>
            <w14:solidFill>
              <w14:schemeClr w14:val="tx1"/>
            </w14:solidFill>
          </w14:textFill>
        </w:rPr>
        <w:tab/>
      </w:r>
      <w:bookmarkEnd w:id="10"/>
      <w:bookmarkEnd w:id="11"/>
      <w:r>
        <w:rPr>
          <w:rFonts w:hint="eastAsia" w:ascii="宋体" w:hAnsi="宋体" w:cs="宋体"/>
          <w:color w:val="000000" w:themeColor="text1"/>
          <w:spacing w:val="0"/>
          <w:w w:val="100"/>
          <w:sz w:val="28"/>
          <w:szCs w:val="28"/>
          <w:highlight w:val="none"/>
          <w:lang w:val="en-US" w:eastAsia="zh-CN"/>
          <w14:textFill>
            <w14:solidFill>
              <w14:schemeClr w14:val="tx1"/>
            </w14:solidFill>
          </w14:textFill>
        </w:rPr>
        <w:t>4</w:t>
      </w:r>
      <w:r>
        <w:rPr>
          <w:rFonts w:hint="eastAsia" w:ascii="宋体" w:hAnsi="宋体" w:eastAsia="宋体" w:cs="宋体"/>
          <w:color w:val="000000" w:themeColor="text1"/>
          <w:spacing w:val="0"/>
          <w:w w:val="100"/>
          <w:sz w:val="28"/>
          <w:szCs w:val="28"/>
          <w:highlight w:val="none"/>
          <w14:textFill>
            <w14:solidFill>
              <w14:schemeClr w14:val="tx1"/>
            </w14:solidFill>
          </w14:textFill>
        </w:rPr>
        <w:fldChar w:fldCharType="end"/>
      </w:r>
      <w:r>
        <w:rPr>
          <w:rFonts w:hint="eastAsia" w:ascii="宋体" w:hAnsi="宋体" w:cs="宋体"/>
          <w:color w:val="000000" w:themeColor="text1"/>
          <w:spacing w:val="0"/>
          <w:w w:val="100"/>
          <w:sz w:val="28"/>
          <w:szCs w:val="28"/>
          <w:highlight w:val="none"/>
          <w:lang w:val="en-US" w:eastAsia="zh-CN"/>
          <w14:textFill>
            <w14:solidFill>
              <w14:schemeClr w14:val="tx1"/>
            </w14:solidFill>
          </w14:textFill>
        </w:rPr>
        <w:t>2</w:t>
      </w:r>
    </w:p>
    <w:p w14:paraId="2A1FE6EE">
      <w:pPr>
        <w:pStyle w:val="36"/>
        <w:keepNext w:val="0"/>
        <w:keepLines w:val="0"/>
        <w:pageBreakBefore w:val="0"/>
        <w:widowControl w:val="0"/>
        <w:tabs>
          <w:tab w:val="right" w:leader="dot" w:pos="9214"/>
        </w:tabs>
        <w:kinsoku/>
        <w:wordWrap/>
        <w:overflowPunct/>
        <w:topLinePunct w:val="0"/>
        <w:autoSpaceDE/>
        <w:autoSpaceDN/>
        <w:bidi w:val="0"/>
        <w:adjustRightInd w:val="0"/>
        <w:snapToGrid w:val="0"/>
        <w:spacing w:line="360" w:lineRule="auto"/>
        <w:ind w:left="0" w:leftChars="0"/>
        <w:textAlignment w:val="auto"/>
        <w:rPr>
          <w:rFonts w:hint="eastAsia" w:ascii="宋体" w:hAnsi="宋体" w:eastAsia="宋体" w:cs="宋体"/>
          <w:color w:val="000000" w:themeColor="text1"/>
          <w:spacing w:val="0"/>
          <w:w w:val="100"/>
          <w:sz w:val="28"/>
          <w:szCs w:val="28"/>
          <w:highlight w:val="none"/>
          <w:lang w:val="en-US" w:eastAsia="zh-CN"/>
          <w14:textFill>
            <w14:solidFill>
              <w14:schemeClr w14:val="tx1"/>
            </w14:solidFill>
          </w14:textFill>
        </w:rPr>
      </w:pPr>
      <w:r>
        <w:rPr>
          <w:rFonts w:hint="eastAsia" w:ascii="宋体" w:hAnsi="宋体" w:eastAsia="宋体" w:cs="宋体"/>
          <w:spacing w:val="0"/>
          <w:w w:val="100"/>
          <w:sz w:val="28"/>
          <w:szCs w:val="28"/>
          <w:highlight w:val="none"/>
        </w:rPr>
        <w:fldChar w:fldCharType="begin"/>
      </w:r>
      <w:r>
        <w:rPr>
          <w:rFonts w:hint="eastAsia" w:ascii="宋体" w:hAnsi="宋体" w:eastAsia="宋体" w:cs="宋体"/>
          <w:spacing w:val="0"/>
          <w:w w:val="100"/>
          <w:sz w:val="28"/>
          <w:szCs w:val="28"/>
          <w:highlight w:val="none"/>
        </w:rPr>
        <w:instrText xml:space="preserve"> HYPERLINK \l "_Toc353197103" </w:instrText>
      </w:r>
      <w:r>
        <w:rPr>
          <w:rFonts w:hint="eastAsia" w:ascii="宋体" w:hAnsi="宋体" w:eastAsia="宋体" w:cs="宋体"/>
          <w:spacing w:val="0"/>
          <w:w w:val="100"/>
          <w:sz w:val="28"/>
          <w:szCs w:val="28"/>
          <w:highlight w:val="none"/>
        </w:rPr>
        <w:fldChar w:fldCharType="separate"/>
      </w:r>
      <w:r>
        <w:rPr>
          <w:rStyle w:val="54"/>
          <w:rFonts w:hint="eastAsia" w:ascii="宋体" w:hAnsi="宋体" w:eastAsia="宋体" w:cs="宋体"/>
          <w:color w:val="000000" w:themeColor="text1"/>
          <w:spacing w:val="0"/>
          <w:w w:val="100"/>
          <w:sz w:val="28"/>
          <w:szCs w:val="28"/>
          <w:highlight w:val="none"/>
          <w14:textFill>
            <w14:solidFill>
              <w14:schemeClr w14:val="tx1"/>
            </w14:solidFill>
          </w14:textFill>
        </w:rPr>
        <w:t>第五章 工程量清单</w:t>
      </w:r>
      <w:r>
        <w:rPr>
          <w:rFonts w:hint="eastAsia" w:ascii="宋体" w:hAnsi="宋体" w:eastAsia="宋体" w:cs="宋体"/>
          <w:color w:val="000000" w:themeColor="text1"/>
          <w:spacing w:val="0"/>
          <w:w w:val="100"/>
          <w:sz w:val="28"/>
          <w:szCs w:val="28"/>
          <w:highlight w:val="none"/>
          <w14:textFill>
            <w14:solidFill>
              <w14:schemeClr w14:val="tx1"/>
            </w14:solidFill>
          </w14:textFill>
        </w:rPr>
        <w:tab/>
      </w:r>
      <w:r>
        <w:rPr>
          <w:rFonts w:hint="eastAsia" w:ascii="宋体" w:hAnsi="宋体" w:eastAsia="宋体" w:cs="宋体"/>
          <w:color w:val="000000" w:themeColor="text1"/>
          <w:spacing w:val="0"/>
          <w:w w:val="100"/>
          <w:sz w:val="28"/>
          <w:szCs w:val="28"/>
          <w:highlight w:val="none"/>
          <w14:textFill>
            <w14:solidFill>
              <w14:schemeClr w14:val="tx1"/>
            </w14:solidFill>
          </w14:textFill>
        </w:rPr>
        <w:fldChar w:fldCharType="end"/>
      </w:r>
      <w:r>
        <w:rPr>
          <w:rFonts w:hint="eastAsia" w:ascii="宋体" w:hAnsi="宋体" w:cs="宋体"/>
          <w:color w:val="000000" w:themeColor="text1"/>
          <w:spacing w:val="0"/>
          <w:w w:val="100"/>
          <w:sz w:val="28"/>
          <w:szCs w:val="28"/>
          <w:highlight w:val="none"/>
          <w:lang w:val="en-US" w:eastAsia="zh-CN"/>
          <w14:textFill>
            <w14:solidFill>
              <w14:schemeClr w14:val="tx1"/>
            </w14:solidFill>
          </w14:textFill>
        </w:rPr>
        <w:t>43</w:t>
      </w:r>
    </w:p>
    <w:p w14:paraId="1B2DD7F5">
      <w:pPr>
        <w:pStyle w:val="36"/>
        <w:keepNext w:val="0"/>
        <w:keepLines w:val="0"/>
        <w:pageBreakBefore w:val="0"/>
        <w:widowControl w:val="0"/>
        <w:tabs>
          <w:tab w:val="right" w:leader="dot" w:pos="9214"/>
        </w:tabs>
        <w:kinsoku/>
        <w:wordWrap/>
        <w:overflowPunct/>
        <w:topLinePunct w:val="0"/>
        <w:autoSpaceDE/>
        <w:autoSpaceDN/>
        <w:bidi w:val="0"/>
        <w:adjustRightInd w:val="0"/>
        <w:snapToGrid w:val="0"/>
        <w:spacing w:line="360" w:lineRule="auto"/>
        <w:ind w:left="0" w:leftChars="0"/>
        <w:textAlignment w:val="auto"/>
        <w:rPr>
          <w:rFonts w:hint="eastAsia" w:ascii="宋体" w:hAnsi="宋体" w:eastAsia="宋体" w:cs="宋体"/>
          <w:color w:val="000000" w:themeColor="text1"/>
          <w:spacing w:val="0"/>
          <w:w w:val="100"/>
          <w:sz w:val="28"/>
          <w:szCs w:val="28"/>
          <w:highlight w:val="none"/>
          <w:lang w:val="en-US" w:eastAsia="zh-CN"/>
          <w14:textFill>
            <w14:solidFill>
              <w14:schemeClr w14:val="tx1"/>
            </w14:solidFill>
          </w14:textFill>
        </w:rPr>
      </w:pPr>
      <w:r>
        <w:rPr>
          <w:rFonts w:hint="eastAsia" w:ascii="宋体" w:hAnsi="宋体" w:eastAsia="宋体" w:cs="宋体"/>
          <w:spacing w:val="0"/>
          <w:w w:val="100"/>
          <w:sz w:val="28"/>
          <w:szCs w:val="28"/>
          <w:highlight w:val="none"/>
        </w:rPr>
        <w:fldChar w:fldCharType="begin"/>
      </w:r>
      <w:r>
        <w:rPr>
          <w:rFonts w:hint="eastAsia" w:ascii="宋体" w:hAnsi="宋体" w:eastAsia="宋体" w:cs="宋体"/>
          <w:spacing w:val="0"/>
          <w:w w:val="100"/>
          <w:sz w:val="28"/>
          <w:szCs w:val="28"/>
          <w:highlight w:val="none"/>
        </w:rPr>
        <w:instrText xml:space="preserve"> HYPERLINK \l "_Toc353197103" </w:instrText>
      </w:r>
      <w:r>
        <w:rPr>
          <w:rFonts w:hint="eastAsia" w:ascii="宋体" w:hAnsi="宋体" w:eastAsia="宋体" w:cs="宋体"/>
          <w:spacing w:val="0"/>
          <w:w w:val="100"/>
          <w:sz w:val="28"/>
          <w:szCs w:val="28"/>
          <w:highlight w:val="none"/>
        </w:rPr>
        <w:fldChar w:fldCharType="separate"/>
      </w:r>
      <w:r>
        <w:rPr>
          <w:rStyle w:val="54"/>
          <w:rFonts w:hint="eastAsia" w:ascii="宋体" w:hAnsi="宋体" w:eastAsia="宋体" w:cs="宋体"/>
          <w:color w:val="000000" w:themeColor="text1"/>
          <w:spacing w:val="0"/>
          <w:w w:val="100"/>
          <w:sz w:val="28"/>
          <w:szCs w:val="28"/>
          <w:highlight w:val="none"/>
          <w14:textFill>
            <w14:solidFill>
              <w14:schemeClr w14:val="tx1"/>
            </w14:solidFill>
          </w14:textFill>
        </w:rPr>
        <w:t>第六章 技术标准和要求</w:t>
      </w:r>
      <w:r>
        <w:rPr>
          <w:rFonts w:hint="eastAsia" w:ascii="宋体" w:hAnsi="宋体" w:eastAsia="宋体" w:cs="宋体"/>
          <w:color w:val="000000" w:themeColor="text1"/>
          <w:spacing w:val="0"/>
          <w:w w:val="100"/>
          <w:sz w:val="28"/>
          <w:szCs w:val="28"/>
          <w:highlight w:val="none"/>
          <w14:textFill>
            <w14:solidFill>
              <w14:schemeClr w14:val="tx1"/>
            </w14:solidFill>
          </w14:textFill>
        </w:rPr>
        <w:tab/>
      </w:r>
      <w:r>
        <w:rPr>
          <w:rFonts w:hint="eastAsia" w:ascii="宋体" w:hAnsi="宋体" w:eastAsia="宋体" w:cs="宋体"/>
          <w:color w:val="000000" w:themeColor="text1"/>
          <w:spacing w:val="0"/>
          <w:w w:val="100"/>
          <w:sz w:val="28"/>
          <w:szCs w:val="28"/>
          <w:highlight w:val="none"/>
          <w14:textFill>
            <w14:solidFill>
              <w14:schemeClr w14:val="tx1"/>
            </w14:solidFill>
          </w14:textFill>
        </w:rPr>
        <w:fldChar w:fldCharType="end"/>
      </w:r>
      <w:r>
        <w:rPr>
          <w:rFonts w:hint="eastAsia" w:ascii="宋体" w:hAnsi="宋体" w:cs="宋体"/>
          <w:color w:val="000000" w:themeColor="text1"/>
          <w:spacing w:val="0"/>
          <w:w w:val="100"/>
          <w:sz w:val="28"/>
          <w:szCs w:val="28"/>
          <w:highlight w:val="none"/>
          <w:lang w:val="en-US" w:eastAsia="zh-CN"/>
          <w14:textFill>
            <w14:solidFill>
              <w14:schemeClr w14:val="tx1"/>
            </w14:solidFill>
          </w14:textFill>
        </w:rPr>
        <w:t>44</w:t>
      </w:r>
    </w:p>
    <w:p w14:paraId="7C85D2D6">
      <w:pPr>
        <w:pStyle w:val="29"/>
        <w:keepNext w:val="0"/>
        <w:keepLines w:val="0"/>
        <w:pageBreakBefore w:val="0"/>
        <w:widowControl w:val="0"/>
        <w:tabs>
          <w:tab w:val="right" w:leader="dot" w:pos="9214"/>
        </w:tabs>
        <w:kinsoku/>
        <w:wordWrap/>
        <w:overflowPunct/>
        <w:topLinePunct w:val="0"/>
        <w:autoSpaceDE/>
        <w:autoSpaceDN/>
        <w:bidi w:val="0"/>
        <w:adjustRightInd w:val="0"/>
        <w:snapToGrid w:val="0"/>
        <w:spacing w:line="360" w:lineRule="auto"/>
        <w:ind w:left="0" w:leftChars="0"/>
        <w:textAlignment w:val="auto"/>
        <w:rPr>
          <w:rFonts w:hint="eastAsia" w:ascii="宋体" w:hAnsi="宋体" w:eastAsia="宋体" w:cs="宋体"/>
          <w:color w:val="000000" w:themeColor="text1"/>
          <w:spacing w:val="0"/>
          <w:w w:val="100"/>
          <w:sz w:val="28"/>
          <w:szCs w:val="28"/>
          <w:highlight w:val="none"/>
          <w:lang w:val="en-US" w:eastAsia="zh-CN"/>
          <w14:textFill>
            <w14:solidFill>
              <w14:schemeClr w14:val="tx1"/>
            </w14:solidFill>
          </w14:textFill>
        </w:rPr>
      </w:pPr>
      <w:r>
        <w:rPr>
          <w:rFonts w:hint="eastAsia" w:ascii="宋体" w:hAnsi="宋体" w:eastAsia="宋体" w:cs="宋体"/>
          <w:spacing w:val="0"/>
          <w:w w:val="100"/>
          <w:sz w:val="28"/>
          <w:szCs w:val="28"/>
          <w:highlight w:val="none"/>
        </w:rPr>
        <w:fldChar w:fldCharType="begin"/>
      </w:r>
      <w:r>
        <w:rPr>
          <w:rFonts w:hint="eastAsia" w:ascii="宋体" w:hAnsi="宋体" w:eastAsia="宋体" w:cs="宋体"/>
          <w:spacing w:val="0"/>
          <w:w w:val="100"/>
          <w:sz w:val="28"/>
          <w:szCs w:val="28"/>
          <w:highlight w:val="none"/>
        </w:rPr>
        <w:instrText xml:space="preserve"> HYPERLINK \l "_Toc353197104" </w:instrText>
      </w:r>
      <w:r>
        <w:rPr>
          <w:rFonts w:hint="eastAsia" w:ascii="宋体" w:hAnsi="宋体" w:eastAsia="宋体" w:cs="宋体"/>
          <w:spacing w:val="0"/>
          <w:w w:val="100"/>
          <w:sz w:val="28"/>
          <w:szCs w:val="28"/>
          <w:highlight w:val="none"/>
        </w:rPr>
        <w:fldChar w:fldCharType="separate"/>
      </w:r>
      <w:r>
        <w:rPr>
          <w:rStyle w:val="54"/>
          <w:rFonts w:hint="eastAsia" w:ascii="宋体" w:hAnsi="宋体" w:eastAsia="宋体" w:cs="宋体"/>
          <w:snapToGrid w:val="0"/>
          <w:color w:val="000000" w:themeColor="text1"/>
          <w:spacing w:val="0"/>
          <w:w w:val="100"/>
          <w:kern w:val="0"/>
          <w:sz w:val="28"/>
          <w:szCs w:val="28"/>
          <w:highlight w:val="none"/>
          <w14:textFill>
            <w14:solidFill>
              <w14:schemeClr w14:val="tx1"/>
            </w14:solidFill>
          </w14:textFill>
        </w:rPr>
        <w:t>第 三 卷</w:t>
      </w:r>
      <w:r>
        <w:rPr>
          <w:rFonts w:hint="eastAsia" w:ascii="宋体" w:hAnsi="宋体" w:eastAsia="宋体" w:cs="宋体"/>
          <w:color w:val="000000" w:themeColor="text1"/>
          <w:spacing w:val="0"/>
          <w:w w:val="100"/>
          <w:sz w:val="28"/>
          <w:szCs w:val="28"/>
          <w:highlight w:val="none"/>
          <w14:textFill>
            <w14:solidFill>
              <w14:schemeClr w14:val="tx1"/>
            </w14:solidFill>
          </w14:textFill>
        </w:rPr>
        <w:tab/>
      </w:r>
      <w:r>
        <w:rPr>
          <w:rFonts w:hint="eastAsia" w:ascii="宋体" w:hAnsi="宋体" w:cs="宋体"/>
          <w:color w:val="000000" w:themeColor="text1"/>
          <w:spacing w:val="0"/>
          <w:w w:val="100"/>
          <w:sz w:val="28"/>
          <w:szCs w:val="28"/>
          <w:highlight w:val="none"/>
          <w:lang w:val="en-US" w:eastAsia="zh-CN"/>
          <w14:textFill>
            <w14:solidFill>
              <w14:schemeClr w14:val="tx1"/>
            </w14:solidFill>
          </w14:textFill>
        </w:rPr>
        <w:t>4</w:t>
      </w:r>
      <w:r>
        <w:rPr>
          <w:rFonts w:hint="eastAsia" w:ascii="宋体" w:hAnsi="宋体" w:eastAsia="宋体" w:cs="宋体"/>
          <w:color w:val="000000" w:themeColor="text1"/>
          <w:spacing w:val="0"/>
          <w:w w:val="100"/>
          <w:sz w:val="28"/>
          <w:szCs w:val="28"/>
          <w:highlight w:val="none"/>
          <w14:textFill>
            <w14:solidFill>
              <w14:schemeClr w14:val="tx1"/>
            </w14:solidFill>
          </w14:textFill>
        </w:rPr>
        <w:fldChar w:fldCharType="end"/>
      </w:r>
      <w:r>
        <w:rPr>
          <w:rFonts w:hint="eastAsia" w:ascii="宋体" w:hAnsi="宋体" w:cs="宋体"/>
          <w:color w:val="000000" w:themeColor="text1"/>
          <w:spacing w:val="0"/>
          <w:w w:val="100"/>
          <w:sz w:val="28"/>
          <w:szCs w:val="28"/>
          <w:highlight w:val="none"/>
          <w:lang w:val="en-US" w:eastAsia="zh-CN"/>
          <w14:textFill>
            <w14:solidFill>
              <w14:schemeClr w14:val="tx1"/>
            </w14:solidFill>
          </w14:textFill>
        </w:rPr>
        <w:t>5</w:t>
      </w:r>
    </w:p>
    <w:p w14:paraId="3DAEF4F9">
      <w:pPr>
        <w:pStyle w:val="36"/>
        <w:keepNext w:val="0"/>
        <w:keepLines w:val="0"/>
        <w:pageBreakBefore w:val="0"/>
        <w:widowControl w:val="0"/>
        <w:tabs>
          <w:tab w:val="right" w:leader="dot" w:pos="9214"/>
        </w:tabs>
        <w:kinsoku/>
        <w:wordWrap/>
        <w:overflowPunct/>
        <w:topLinePunct w:val="0"/>
        <w:autoSpaceDE/>
        <w:autoSpaceDN/>
        <w:bidi w:val="0"/>
        <w:adjustRightInd w:val="0"/>
        <w:snapToGrid w:val="0"/>
        <w:spacing w:line="360" w:lineRule="auto"/>
        <w:ind w:left="0" w:leftChars="0"/>
        <w:textAlignment w:val="auto"/>
        <w:rPr>
          <w:rFonts w:hint="eastAsia" w:ascii="宋体" w:hAnsi="宋体" w:eastAsia="宋体" w:cs="宋体"/>
          <w:color w:val="000000" w:themeColor="text1"/>
          <w:spacing w:val="0"/>
          <w:w w:val="100"/>
          <w:sz w:val="28"/>
          <w:szCs w:val="28"/>
          <w:highlight w:val="none"/>
          <w:lang w:val="en-US" w:eastAsia="zh-CN"/>
          <w14:textFill>
            <w14:solidFill>
              <w14:schemeClr w14:val="tx1"/>
            </w14:solidFill>
          </w14:textFill>
        </w:rPr>
      </w:pPr>
      <w:r>
        <w:rPr>
          <w:rFonts w:hint="eastAsia" w:ascii="宋体" w:hAnsi="宋体" w:eastAsia="宋体" w:cs="宋体"/>
          <w:color w:val="000000" w:themeColor="text1"/>
          <w:spacing w:val="0"/>
          <w:w w:val="100"/>
          <w:kern w:val="2"/>
          <w:sz w:val="28"/>
          <w:szCs w:val="28"/>
          <w:highlight w:val="none"/>
          <w:lang w:val="en-US" w:eastAsia="zh-CN" w:bidi="ar-SA"/>
          <w14:textFill>
            <w14:solidFill>
              <w14:schemeClr w14:val="tx1"/>
            </w14:solidFill>
          </w14:textFill>
        </w:rPr>
        <w:fldChar w:fldCharType="begin"/>
      </w:r>
      <w:r>
        <w:rPr>
          <w:rFonts w:hint="eastAsia" w:ascii="宋体" w:hAnsi="宋体" w:eastAsia="宋体" w:cs="宋体"/>
          <w:color w:val="000000" w:themeColor="text1"/>
          <w:spacing w:val="0"/>
          <w:w w:val="100"/>
          <w:kern w:val="2"/>
          <w:sz w:val="28"/>
          <w:szCs w:val="28"/>
          <w:highlight w:val="none"/>
          <w:lang w:val="en-US" w:eastAsia="zh-CN" w:bidi="ar-SA"/>
          <w14:textFill>
            <w14:solidFill>
              <w14:schemeClr w14:val="tx1"/>
            </w14:solidFill>
          </w14:textFill>
        </w:rPr>
        <w:instrText xml:space="preserve"> HYPERLINK \l "_Toc353197105" </w:instrText>
      </w:r>
      <w:r>
        <w:rPr>
          <w:rFonts w:hint="eastAsia" w:ascii="宋体" w:hAnsi="宋体" w:eastAsia="宋体" w:cs="宋体"/>
          <w:color w:val="000000" w:themeColor="text1"/>
          <w:spacing w:val="0"/>
          <w:w w:val="100"/>
          <w:kern w:val="2"/>
          <w:sz w:val="28"/>
          <w:szCs w:val="28"/>
          <w:highlight w:val="none"/>
          <w:lang w:val="en-US" w:eastAsia="zh-CN" w:bidi="ar-SA"/>
          <w14:textFill>
            <w14:solidFill>
              <w14:schemeClr w14:val="tx1"/>
            </w14:solidFill>
          </w14:textFill>
        </w:rPr>
        <w:fldChar w:fldCharType="separate"/>
      </w:r>
      <w:r>
        <w:rPr>
          <w:rFonts w:hint="eastAsia" w:ascii="宋体" w:hAnsi="宋体" w:eastAsia="宋体" w:cs="宋体"/>
          <w:color w:val="000000" w:themeColor="text1"/>
          <w:spacing w:val="0"/>
          <w:w w:val="100"/>
          <w:kern w:val="2"/>
          <w:sz w:val="28"/>
          <w:szCs w:val="28"/>
          <w:highlight w:val="none"/>
          <w:lang w:val="en-US" w:eastAsia="zh-CN" w:bidi="ar-SA"/>
          <w14:textFill>
            <w14:solidFill>
              <w14:schemeClr w14:val="tx1"/>
            </w14:solidFill>
          </w14:textFill>
        </w:rPr>
        <w:t>第七章 投标文件格式</w:t>
      </w:r>
      <w:r>
        <w:rPr>
          <w:rFonts w:hint="eastAsia" w:ascii="宋体" w:hAnsi="宋体" w:eastAsia="宋体" w:cs="宋体"/>
          <w:color w:val="000000" w:themeColor="text1"/>
          <w:spacing w:val="0"/>
          <w:w w:val="100"/>
          <w:kern w:val="2"/>
          <w:sz w:val="28"/>
          <w:szCs w:val="28"/>
          <w:highlight w:val="none"/>
          <w:lang w:val="en-US" w:eastAsia="zh-CN" w:bidi="ar-SA"/>
          <w14:textFill>
            <w14:solidFill>
              <w14:schemeClr w14:val="tx1"/>
            </w14:solidFill>
          </w14:textFill>
        </w:rPr>
        <w:tab/>
      </w:r>
      <w:r>
        <w:rPr>
          <w:rFonts w:hint="eastAsia" w:ascii="宋体" w:hAnsi="宋体" w:eastAsia="宋体" w:cs="宋体"/>
          <w:color w:val="000000" w:themeColor="text1"/>
          <w:spacing w:val="0"/>
          <w:w w:val="100"/>
          <w:kern w:val="2"/>
          <w:sz w:val="28"/>
          <w:szCs w:val="28"/>
          <w:highlight w:val="none"/>
          <w:lang w:val="en-US" w:eastAsia="zh-CN" w:bidi="ar-SA"/>
          <w14:textFill>
            <w14:solidFill>
              <w14:schemeClr w14:val="tx1"/>
            </w14:solidFill>
          </w14:textFill>
        </w:rPr>
        <w:fldChar w:fldCharType="end"/>
      </w:r>
      <w:r>
        <w:rPr>
          <w:rFonts w:hint="eastAsia" w:ascii="宋体" w:hAnsi="宋体" w:cs="宋体"/>
          <w:color w:val="000000" w:themeColor="text1"/>
          <w:spacing w:val="0"/>
          <w:w w:val="100"/>
          <w:kern w:val="2"/>
          <w:sz w:val="28"/>
          <w:szCs w:val="28"/>
          <w:highlight w:val="none"/>
          <w:lang w:val="en-US" w:eastAsia="zh-CN" w:bidi="ar-SA"/>
          <w14:textFill>
            <w14:solidFill>
              <w14:schemeClr w14:val="tx1"/>
            </w14:solidFill>
          </w14:textFill>
        </w:rPr>
        <w:t>46</w:t>
      </w:r>
    </w:p>
    <w:p w14:paraId="4CF3CBE5">
      <w:pPr>
        <w:pStyle w:val="36"/>
        <w:tabs>
          <w:tab w:val="right" w:leader="dot" w:pos="8810"/>
        </w:tabs>
        <w:rPr>
          <w:rFonts w:ascii="Garamond" w:hAnsi="Garamond"/>
          <w:color w:val="000000" w:themeColor="text1"/>
          <w:szCs w:val="22"/>
          <w:highlight w:val="none"/>
          <w14:textFill>
            <w14:solidFill>
              <w14:schemeClr w14:val="tx1"/>
            </w14:solidFill>
          </w14:textFill>
        </w:rPr>
      </w:pPr>
    </w:p>
    <w:p w14:paraId="00BCBD2D">
      <w:pPr>
        <w:spacing w:line="400" w:lineRule="exact"/>
        <w:jc w:val="center"/>
        <w:rPr>
          <w:rFonts w:ascii="Garamond" w:hAnsi="Garamond"/>
          <w:color w:val="000000" w:themeColor="text1"/>
          <w:sz w:val="24"/>
          <w:highlight w:val="none"/>
          <w14:textFill>
            <w14:solidFill>
              <w14:schemeClr w14:val="tx1"/>
            </w14:solidFill>
          </w14:textFill>
        </w:rPr>
      </w:pPr>
      <w:r>
        <w:rPr>
          <w:rFonts w:ascii="Garamond" w:hAnsi="Garamond"/>
          <w:color w:val="000000" w:themeColor="text1"/>
          <w:sz w:val="28"/>
          <w:szCs w:val="28"/>
          <w:highlight w:val="none"/>
          <w14:textFill>
            <w14:solidFill>
              <w14:schemeClr w14:val="tx1"/>
            </w14:solidFill>
          </w14:textFill>
        </w:rPr>
        <w:fldChar w:fldCharType="end"/>
      </w:r>
    </w:p>
    <w:p w14:paraId="35ADBF6A">
      <w:pPr>
        <w:spacing w:line="400" w:lineRule="exact"/>
        <w:rPr>
          <w:rFonts w:ascii="Garamond" w:hAnsi="Garamond"/>
          <w:color w:val="000000" w:themeColor="text1"/>
          <w:sz w:val="24"/>
          <w:highlight w:val="none"/>
          <w14:textFill>
            <w14:solidFill>
              <w14:schemeClr w14:val="tx1"/>
            </w14:solidFill>
          </w14:textFill>
        </w:rPr>
      </w:pPr>
    </w:p>
    <w:p w14:paraId="35C749F8">
      <w:pPr>
        <w:spacing w:line="400" w:lineRule="exact"/>
        <w:rPr>
          <w:rFonts w:ascii="Garamond" w:hAnsi="Garamond"/>
          <w:color w:val="000000" w:themeColor="text1"/>
          <w:sz w:val="24"/>
          <w:highlight w:val="none"/>
          <w14:textFill>
            <w14:solidFill>
              <w14:schemeClr w14:val="tx1"/>
            </w14:solidFill>
          </w14:textFill>
        </w:rPr>
      </w:pPr>
    </w:p>
    <w:p w14:paraId="772B02AF">
      <w:pPr>
        <w:spacing w:line="400" w:lineRule="exact"/>
        <w:rPr>
          <w:rFonts w:ascii="Garamond" w:hAnsi="Garamond"/>
          <w:color w:val="000000" w:themeColor="text1"/>
          <w:sz w:val="24"/>
          <w:highlight w:val="none"/>
          <w14:textFill>
            <w14:solidFill>
              <w14:schemeClr w14:val="tx1"/>
            </w14:solidFill>
          </w14:textFill>
        </w:rPr>
      </w:pPr>
    </w:p>
    <w:p w14:paraId="109F8964">
      <w:pPr>
        <w:spacing w:line="400" w:lineRule="exact"/>
        <w:rPr>
          <w:rFonts w:ascii="Garamond" w:hAnsi="Garamond"/>
          <w:color w:val="000000" w:themeColor="text1"/>
          <w:sz w:val="24"/>
          <w:highlight w:val="none"/>
          <w14:textFill>
            <w14:solidFill>
              <w14:schemeClr w14:val="tx1"/>
            </w14:solidFill>
          </w14:textFill>
        </w:rPr>
      </w:pPr>
    </w:p>
    <w:p w14:paraId="4A476802">
      <w:pPr>
        <w:spacing w:line="400" w:lineRule="exact"/>
        <w:rPr>
          <w:rFonts w:ascii="Garamond" w:hAnsi="Garamond"/>
          <w:color w:val="000000" w:themeColor="text1"/>
          <w:sz w:val="24"/>
          <w:highlight w:val="none"/>
          <w14:textFill>
            <w14:solidFill>
              <w14:schemeClr w14:val="tx1"/>
            </w14:solidFill>
          </w14:textFill>
        </w:rPr>
      </w:pPr>
    </w:p>
    <w:p w14:paraId="4A309C02">
      <w:pPr>
        <w:spacing w:line="400" w:lineRule="exact"/>
        <w:rPr>
          <w:rFonts w:ascii="Garamond" w:hAnsi="Garamond"/>
          <w:color w:val="000000" w:themeColor="text1"/>
          <w:sz w:val="24"/>
          <w:highlight w:val="none"/>
          <w14:textFill>
            <w14:solidFill>
              <w14:schemeClr w14:val="tx1"/>
            </w14:solidFill>
          </w14:textFill>
        </w:rPr>
      </w:pPr>
    </w:p>
    <w:p w14:paraId="25F85612">
      <w:pPr>
        <w:spacing w:line="400" w:lineRule="exact"/>
        <w:rPr>
          <w:rFonts w:ascii="Garamond" w:hAnsi="Garamond"/>
          <w:color w:val="000000" w:themeColor="text1"/>
          <w:sz w:val="24"/>
          <w:highlight w:val="none"/>
          <w14:textFill>
            <w14:solidFill>
              <w14:schemeClr w14:val="tx1"/>
            </w14:solidFill>
          </w14:textFill>
        </w:rPr>
      </w:pPr>
    </w:p>
    <w:p w14:paraId="05987BB4">
      <w:pPr>
        <w:spacing w:line="400" w:lineRule="exact"/>
        <w:rPr>
          <w:rFonts w:ascii="Garamond" w:hAnsi="Garamond"/>
          <w:color w:val="000000" w:themeColor="text1"/>
          <w:sz w:val="24"/>
          <w:highlight w:val="none"/>
          <w14:textFill>
            <w14:solidFill>
              <w14:schemeClr w14:val="tx1"/>
            </w14:solidFill>
          </w14:textFill>
        </w:rPr>
      </w:pPr>
    </w:p>
    <w:p w14:paraId="25D16903">
      <w:pPr>
        <w:spacing w:line="400" w:lineRule="exact"/>
        <w:rPr>
          <w:rFonts w:ascii="Garamond" w:hAnsi="Garamond"/>
          <w:color w:val="000000" w:themeColor="text1"/>
          <w:sz w:val="24"/>
          <w:highlight w:val="none"/>
          <w14:textFill>
            <w14:solidFill>
              <w14:schemeClr w14:val="tx1"/>
            </w14:solidFill>
          </w14:textFill>
        </w:rPr>
        <w:sectPr>
          <w:footerReference r:id="rId7" w:type="default"/>
          <w:pgSz w:w="11906" w:h="16838"/>
          <w:pgMar w:top="1418" w:right="1247" w:bottom="1418" w:left="1418" w:header="851" w:footer="680" w:gutter="0"/>
          <w:pgNumType w:fmt="decimalFullWidth"/>
          <w:cols w:space="720" w:num="1"/>
          <w:docGrid w:linePitch="312" w:charSpace="0"/>
        </w:sectPr>
      </w:pPr>
    </w:p>
    <w:p w14:paraId="2885E823">
      <w:pPr>
        <w:spacing w:line="400" w:lineRule="exact"/>
        <w:rPr>
          <w:rFonts w:ascii="Garamond" w:hAnsi="Garamond"/>
          <w:color w:val="000000" w:themeColor="text1"/>
          <w:sz w:val="24"/>
          <w:highlight w:val="none"/>
          <w14:textFill>
            <w14:solidFill>
              <w14:schemeClr w14:val="tx1"/>
            </w14:solidFill>
          </w14:textFill>
        </w:rPr>
      </w:pPr>
    </w:p>
    <w:p w14:paraId="0F426B10">
      <w:pPr>
        <w:spacing w:line="340" w:lineRule="exact"/>
        <w:jc w:val="right"/>
        <w:rPr>
          <w:rFonts w:ascii="Garamond" w:hAnsi="Garamond"/>
          <w:color w:val="000000" w:themeColor="text1"/>
          <w:sz w:val="24"/>
          <w:highlight w:val="none"/>
          <w14:textFill>
            <w14:solidFill>
              <w14:schemeClr w14:val="tx1"/>
            </w14:solidFill>
          </w14:textFill>
        </w:rPr>
      </w:pPr>
    </w:p>
    <w:p w14:paraId="6F5A29EA">
      <w:pPr>
        <w:spacing w:line="340" w:lineRule="exact"/>
        <w:jc w:val="right"/>
        <w:rPr>
          <w:rFonts w:ascii="Garamond" w:hAnsi="Garamond"/>
          <w:color w:val="000000" w:themeColor="text1"/>
          <w:sz w:val="24"/>
          <w:highlight w:val="none"/>
          <w14:textFill>
            <w14:solidFill>
              <w14:schemeClr w14:val="tx1"/>
            </w14:solidFill>
          </w14:textFill>
        </w:rPr>
      </w:pPr>
    </w:p>
    <w:p w14:paraId="4E572BC3">
      <w:pPr>
        <w:spacing w:line="340" w:lineRule="exact"/>
        <w:jc w:val="right"/>
        <w:rPr>
          <w:rFonts w:ascii="Garamond" w:hAnsi="Garamond"/>
          <w:color w:val="000000" w:themeColor="text1"/>
          <w:sz w:val="24"/>
          <w:highlight w:val="none"/>
          <w14:textFill>
            <w14:solidFill>
              <w14:schemeClr w14:val="tx1"/>
            </w14:solidFill>
          </w14:textFill>
        </w:rPr>
      </w:pPr>
    </w:p>
    <w:p w14:paraId="039D2EF2">
      <w:pPr>
        <w:spacing w:line="340" w:lineRule="exact"/>
        <w:jc w:val="right"/>
        <w:rPr>
          <w:rFonts w:ascii="Garamond" w:hAnsi="Garamond"/>
          <w:color w:val="000000" w:themeColor="text1"/>
          <w:sz w:val="24"/>
          <w:highlight w:val="none"/>
          <w14:textFill>
            <w14:solidFill>
              <w14:schemeClr w14:val="tx1"/>
            </w14:solidFill>
          </w14:textFill>
        </w:rPr>
      </w:pPr>
    </w:p>
    <w:p w14:paraId="757E6619">
      <w:pPr>
        <w:spacing w:line="340" w:lineRule="exact"/>
        <w:jc w:val="right"/>
        <w:rPr>
          <w:rFonts w:ascii="Garamond" w:hAnsi="Garamond"/>
          <w:color w:val="000000" w:themeColor="text1"/>
          <w:sz w:val="24"/>
          <w:highlight w:val="none"/>
          <w14:textFill>
            <w14:solidFill>
              <w14:schemeClr w14:val="tx1"/>
            </w14:solidFill>
          </w14:textFill>
        </w:rPr>
      </w:pPr>
    </w:p>
    <w:p w14:paraId="656DDBCE">
      <w:pPr>
        <w:spacing w:line="340" w:lineRule="exact"/>
        <w:jc w:val="right"/>
        <w:rPr>
          <w:rFonts w:ascii="Garamond" w:hAnsi="Garamond"/>
          <w:color w:val="000000" w:themeColor="text1"/>
          <w:sz w:val="24"/>
          <w:highlight w:val="none"/>
          <w14:textFill>
            <w14:solidFill>
              <w14:schemeClr w14:val="tx1"/>
            </w14:solidFill>
          </w14:textFill>
        </w:rPr>
      </w:pPr>
    </w:p>
    <w:p w14:paraId="46244342">
      <w:pPr>
        <w:spacing w:line="340" w:lineRule="exact"/>
        <w:jc w:val="right"/>
        <w:rPr>
          <w:rFonts w:ascii="Garamond" w:hAnsi="Garamond"/>
          <w:color w:val="000000" w:themeColor="text1"/>
          <w:sz w:val="24"/>
          <w:highlight w:val="none"/>
          <w14:textFill>
            <w14:solidFill>
              <w14:schemeClr w14:val="tx1"/>
            </w14:solidFill>
          </w14:textFill>
        </w:rPr>
      </w:pPr>
    </w:p>
    <w:p w14:paraId="09557E0C">
      <w:pPr>
        <w:spacing w:line="340" w:lineRule="exact"/>
        <w:jc w:val="right"/>
        <w:rPr>
          <w:rFonts w:ascii="Garamond" w:hAnsi="Garamond"/>
          <w:color w:val="000000" w:themeColor="text1"/>
          <w:sz w:val="24"/>
          <w:highlight w:val="none"/>
          <w14:textFill>
            <w14:solidFill>
              <w14:schemeClr w14:val="tx1"/>
            </w14:solidFill>
          </w14:textFill>
        </w:rPr>
      </w:pPr>
    </w:p>
    <w:p w14:paraId="295C3587">
      <w:pPr>
        <w:pStyle w:val="16"/>
        <w:rPr>
          <w:rFonts w:ascii="Garamond" w:hAnsi="Garamond"/>
          <w:color w:val="000000" w:themeColor="text1"/>
          <w:sz w:val="24"/>
          <w:highlight w:val="none"/>
          <w14:textFill>
            <w14:solidFill>
              <w14:schemeClr w14:val="tx1"/>
            </w14:solidFill>
          </w14:textFill>
        </w:rPr>
      </w:pPr>
    </w:p>
    <w:p w14:paraId="5781E9AA">
      <w:pPr>
        <w:rPr>
          <w:rFonts w:ascii="Garamond" w:hAnsi="Garamond"/>
          <w:color w:val="000000" w:themeColor="text1"/>
          <w:sz w:val="24"/>
          <w:highlight w:val="none"/>
          <w14:textFill>
            <w14:solidFill>
              <w14:schemeClr w14:val="tx1"/>
            </w14:solidFill>
          </w14:textFill>
        </w:rPr>
      </w:pPr>
    </w:p>
    <w:p w14:paraId="2D9ECA1E">
      <w:pPr>
        <w:pStyle w:val="16"/>
        <w:rPr>
          <w:rFonts w:ascii="Garamond" w:hAnsi="Garamond"/>
          <w:color w:val="000000" w:themeColor="text1"/>
          <w:sz w:val="24"/>
          <w:highlight w:val="none"/>
          <w14:textFill>
            <w14:solidFill>
              <w14:schemeClr w14:val="tx1"/>
            </w14:solidFill>
          </w14:textFill>
        </w:rPr>
      </w:pPr>
    </w:p>
    <w:p w14:paraId="186C0431">
      <w:pPr>
        <w:rPr>
          <w:rFonts w:ascii="Garamond" w:hAnsi="Garamond"/>
          <w:color w:val="000000" w:themeColor="text1"/>
          <w:sz w:val="24"/>
          <w:highlight w:val="none"/>
          <w14:textFill>
            <w14:solidFill>
              <w14:schemeClr w14:val="tx1"/>
            </w14:solidFill>
          </w14:textFill>
        </w:rPr>
      </w:pPr>
    </w:p>
    <w:p w14:paraId="479690A7">
      <w:pPr>
        <w:pStyle w:val="16"/>
        <w:rPr>
          <w:rFonts w:ascii="Garamond" w:hAnsi="Garamond"/>
          <w:color w:val="000000" w:themeColor="text1"/>
          <w:sz w:val="24"/>
          <w:highlight w:val="none"/>
          <w14:textFill>
            <w14:solidFill>
              <w14:schemeClr w14:val="tx1"/>
            </w14:solidFill>
          </w14:textFill>
        </w:rPr>
      </w:pPr>
    </w:p>
    <w:p w14:paraId="6D60C047">
      <w:pPr>
        <w:rPr>
          <w:color w:val="000000" w:themeColor="text1"/>
          <w:highlight w:val="none"/>
          <w14:textFill>
            <w14:solidFill>
              <w14:schemeClr w14:val="tx1"/>
            </w14:solidFill>
          </w14:textFill>
        </w:rPr>
      </w:pPr>
    </w:p>
    <w:p w14:paraId="5134A3C2">
      <w:pPr>
        <w:spacing w:line="340" w:lineRule="exact"/>
        <w:jc w:val="right"/>
        <w:rPr>
          <w:rFonts w:ascii="Garamond" w:hAnsi="Garamond"/>
          <w:color w:val="000000" w:themeColor="text1"/>
          <w:sz w:val="24"/>
          <w:highlight w:val="none"/>
          <w14:textFill>
            <w14:solidFill>
              <w14:schemeClr w14:val="tx1"/>
            </w14:solidFill>
          </w14:textFill>
        </w:rPr>
      </w:pPr>
    </w:p>
    <w:p w14:paraId="05D28E8C">
      <w:pPr>
        <w:spacing w:line="740" w:lineRule="exact"/>
        <w:jc w:val="center"/>
        <w:outlineLvl w:val="0"/>
        <w:rPr>
          <w:rFonts w:ascii="Garamond" w:hAnsi="Garamond"/>
          <w:b/>
          <w:color w:val="000000" w:themeColor="text1"/>
          <w:sz w:val="72"/>
          <w:szCs w:val="72"/>
          <w:highlight w:val="none"/>
          <w14:textFill>
            <w14:solidFill>
              <w14:schemeClr w14:val="tx1"/>
            </w14:solidFill>
          </w14:textFill>
        </w:rPr>
      </w:pPr>
      <w:r>
        <w:rPr>
          <w:rFonts w:ascii="Garamond" w:hAnsi="Garamond"/>
          <w:b/>
          <w:color w:val="000000" w:themeColor="text1"/>
          <w:sz w:val="72"/>
          <w:szCs w:val="72"/>
          <w:highlight w:val="none"/>
          <w14:textFill>
            <w14:solidFill>
              <w14:schemeClr w14:val="tx1"/>
            </w14:solidFill>
          </w14:textFill>
        </w:rPr>
        <w:tab/>
      </w:r>
      <w:bookmarkStart w:id="12" w:name="_Toc353197071"/>
      <w:r>
        <w:rPr>
          <w:rFonts w:ascii="Garamond" w:hAnsi="Garamond"/>
          <w:b/>
          <w:snapToGrid w:val="0"/>
          <w:color w:val="000000" w:themeColor="text1"/>
          <w:kern w:val="0"/>
          <w:sz w:val="72"/>
          <w:szCs w:val="72"/>
          <w:highlight w:val="none"/>
          <w14:textFill>
            <w14:solidFill>
              <w14:schemeClr w14:val="tx1"/>
            </w14:solidFill>
          </w14:textFill>
        </w:rPr>
        <w:t>第 一 卷</w:t>
      </w:r>
      <w:bookmarkEnd w:id="12"/>
      <w:r>
        <w:rPr>
          <w:rFonts w:ascii="Garamond" w:hAnsi="Garamond"/>
          <w:b/>
          <w:color w:val="000000" w:themeColor="text1"/>
          <w:sz w:val="72"/>
          <w:szCs w:val="72"/>
          <w:highlight w:val="none"/>
          <w14:textFill>
            <w14:solidFill>
              <w14:schemeClr w14:val="tx1"/>
            </w14:solidFill>
          </w14:textFill>
        </w:rPr>
        <w:tab/>
      </w:r>
    </w:p>
    <w:p w14:paraId="6E286C15">
      <w:pPr>
        <w:spacing w:line="340" w:lineRule="exact"/>
        <w:jc w:val="right"/>
        <w:rPr>
          <w:rFonts w:ascii="Garamond" w:hAnsi="Garamond"/>
          <w:color w:val="000000" w:themeColor="text1"/>
          <w:sz w:val="24"/>
          <w:highlight w:val="none"/>
          <w14:textFill>
            <w14:solidFill>
              <w14:schemeClr w14:val="tx1"/>
            </w14:solidFill>
          </w14:textFill>
        </w:rPr>
      </w:pPr>
    </w:p>
    <w:p w14:paraId="217DF838">
      <w:pPr>
        <w:spacing w:line="340" w:lineRule="exact"/>
        <w:jc w:val="right"/>
        <w:rPr>
          <w:rFonts w:ascii="Garamond" w:hAnsi="Garamond"/>
          <w:color w:val="000000" w:themeColor="text1"/>
          <w:sz w:val="24"/>
          <w:highlight w:val="none"/>
          <w14:textFill>
            <w14:solidFill>
              <w14:schemeClr w14:val="tx1"/>
            </w14:solidFill>
          </w14:textFill>
        </w:rPr>
      </w:pPr>
    </w:p>
    <w:p w14:paraId="229025BF">
      <w:pPr>
        <w:spacing w:line="340" w:lineRule="exact"/>
        <w:jc w:val="right"/>
        <w:rPr>
          <w:rFonts w:ascii="Garamond" w:hAnsi="Garamond"/>
          <w:color w:val="000000" w:themeColor="text1"/>
          <w:sz w:val="24"/>
          <w:highlight w:val="none"/>
          <w14:textFill>
            <w14:solidFill>
              <w14:schemeClr w14:val="tx1"/>
            </w14:solidFill>
          </w14:textFill>
        </w:rPr>
      </w:pPr>
    </w:p>
    <w:p w14:paraId="17F21404">
      <w:pPr>
        <w:spacing w:line="340" w:lineRule="exact"/>
        <w:jc w:val="right"/>
        <w:rPr>
          <w:rFonts w:ascii="Garamond" w:hAnsi="Garamond"/>
          <w:color w:val="000000" w:themeColor="text1"/>
          <w:sz w:val="24"/>
          <w:highlight w:val="none"/>
          <w14:textFill>
            <w14:solidFill>
              <w14:schemeClr w14:val="tx1"/>
            </w14:solidFill>
          </w14:textFill>
        </w:rPr>
      </w:pPr>
    </w:p>
    <w:p w14:paraId="208ECF92">
      <w:pPr>
        <w:spacing w:line="340" w:lineRule="exact"/>
        <w:jc w:val="right"/>
        <w:rPr>
          <w:rFonts w:ascii="Garamond" w:hAnsi="Garamond"/>
          <w:color w:val="000000" w:themeColor="text1"/>
          <w:sz w:val="24"/>
          <w:highlight w:val="none"/>
          <w14:textFill>
            <w14:solidFill>
              <w14:schemeClr w14:val="tx1"/>
            </w14:solidFill>
          </w14:textFill>
        </w:rPr>
      </w:pPr>
    </w:p>
    <w:p w14:paraId="28AFF597">
      <w:pPr>
        <w:spacing w:line="340" w:lineRule="exact"/>
        <w:jc w:val="right"/>
        <w:rPr>
          <w:rFonts w:ascii="Garamond" w:hAnsi="Garamond"/>
          <w:color w:val="000000" w:themeColor="text1"/>
          <w:sz w:val="24"/>
          <w:highlight w:val="none"/>
          <w14:textFill>
            <w14:solidFill>
              <w14:schemeClr w14:val="tx1"/>
            </w14:solidFill>
          </w14:textFill>
        </w:rPr>
      </w:pPr>
    </w:p>
    <w:p w14:paraId="148E6CC3">
      <w:pPr>
        <w:spacing w:line="340" w:lineRule="exact"/>
        <w:jc w:val="right"/>
        <w:rPr>
          <w:rFonts w:ascii="Garamond" w:hAnsi="Garamond"/>
          <w:color w:val="000000" w:themeColor="text1"/>
          <w:sz w:val="24"/>
          <w:highlight w:val="none"/>
          <w14:textFill>
            <w14:solidFill>
              <w14:schemeClr w14:val="tx1"/>
            </w14:solidFill>
          </w14:textFill>
        </w:rPr>
      </w:pPr>
    </w:p>
    <w:p w14:paraId="4D2B5AF0">
      <w:pPr>
        <w:spacing w:line="340" w:lineRule="exact"/>
        <w:jc w:val="right"/>
        <w:rPr>
          <w:rFonts w:ascii="Garamond" w:hAnsi="Garamond"/>
          <w:color w:val="000000" w:themeColor="text1"/>
          <w:sz w:val="24"/>
          <w:highlight w:val="none"/>
          <w14:textFill>
            <w14:solidFill>
              <w14:schemeClr w14:val="tx1"/>
            </w14:solidFill>
          </w14:textFill>
        </w:rPr>
      </w:pPr>
    </w:p>
    <w:p w14:paraId="078F80F8">
      <w:pPr>
        <w:spacing w:line="340" w:lineRule="exact"/>
        <w:jc w:val="right"/>
        <w:rPr>
          <w:rFonts w:ascii="Garamond" w:hAnsi="Garamond"/>
          <w:color w:val="000000" w:themeColor="text1"/>
          <w:sz w:val="24"/>
          <w:highlight w:val="none"/>
          <w14:textFill>
            <w14:solidFill>
              <w14:schemeClr w14:val="tx1"/>
            </w14:solidFill>
          </w14:textFill>
        </w:rPr>
      </w:pPr>
    </w:p>
    <w:p w14:paraId="303224D7">
      <w:pPr>
        <w:spacing w:line="340" w:lineRule="exact"/>
        <w:jc w:val="right"/>
        <w:rPr>
          <w:rFonts w:ascii="Garamond" w:hAnsi="Garamond"/>
          <w:color w:val="000000" w:themeColor="text1"/>
          <w:sz w:val="24"/>
          <w:highlight w:val="none"/>
          <w14:textFill>
            <w14:solidFill>
              <w14:schemeClr w14:val="tx1"/>
            </w14:solidFill>
          </w14:textFill>
        </w:rPr>
      </w:pPr>
    </w:p>
    <w:p w14:paraId="4AF9B690">
      <w:pPr>
        <w:spacing w:line="340" w:lineRule="exact"/>
        <w:jc w:val="right"/>
        <w:rPr>
          <w:rFonts w:ascii="Garamond" w:hAnsi="Garamond"/>
          <w:color w:val="000000" w:themeColor="text1"/>
          <w:sz w:val="24"/>
          <w:highlight w:val="none"/>
          <w14:textFill>
            <w14:solidFill>
              <w14:schemeClr w14:val="tx1"/>
            </w14:solidFill>
          </w14:textFill>
        </w:rPr>
      </w:pPr>
    </w:p>
    <w:p w14:paraId="5AA6D575">
      <w:pPr>
        <w:spacing w:line="340" w:lineRule="exact"/>
        <w:jc w:val="right"/>
        <w:rPr>
          <w:rFonts w:ascii="Garamond" w:hAnsi="Garamond"/>
          <w:color w:val="000000" w:themeColor="text1"/>
          <w:sz w:val="24"/>
          <w:highlight w:val="none"/>
          <w14:textFill>
            <w14:solidFill>
              <w14:schemeClr w14:val="tx1"/>
            </w14:solidFill>
          </w14:textFill>
        </w:rPr>
      </w:pPr>
    </w:p>
    <w:p w14:paraId="283C44C3">
      <w:pPr>
        <w:spacing w:after="120" w:line="338" w:lineRule="auto"/>
        <w:rPr>
          <w:rFonts w:ascii="Garamond" w:hAnsi="Garamond"/>
          <w:color w:val="000000" w:themeColor="text1"/>
          <w:sz w:val="48"/>
          <w:szCs w:val="48"/>
          <w:highlight w:val="none"/>
          <w14:textFill>
            <w14:solidFill>
              <w14:schemeClr w14:val="tx1"/>
            </w14:solidFill>
          </w14:textFill>
        </w:rPr>
      </w:pPr>
      <w:bookmarkStart w:id="13" w:name="_Toc353197072"/>
    </w:p>
    <w:p w14:paraId="1603DC11">
      <w:pPr>
        <w:pStyle w:val="2"/>
        <w:spacing w:after="120" w:line="338" w:lineRule="auto"/>
        <w:ind w:firstLine="2380" w:firstLineChars="494"/>
        <w:rPr>
          <w:rFonts w:ascii="Garamond" w:hAnsi="Garamond"/>
          <w:color w:val="000000" w:themeColor="text1"/>
          <w:sz w:val="48"/>
          <w:szCs w:val="48"/>
          <w:highlight w:val="none"/>
          <w14:textFill>
            <w14:solidFill>
              <w14:schemeClr w14:val="tx1"/>
            </w14:solidFill>
          </w14:textFill>
        </w:rPr>
        <w:sectPr>
          <w:footerReference r:id="rId8" w:type="default"/>
          <w:footerReference r:id="rId9" w:type="even"/>
          <w:pgSz w:w="11906" w:h="16838"/>
          <w:pgMar w:top="1418" w:right="1247" w:bottom="1418" w:left="1418" w:header="851" w:footer="680" w:gutter="0"/>
          <w:pgNumType w:fmt="decimal" w:start="1"/>
          <w:cols w:space="720" w:num="1"/>
          <w:docGrid w:linePitch="312" w:charSpace="0"/>
        </w:sectPr>
      </w:pPr>
    </w:p>
    <w:p w14:paraId="483F1997">
      <w:pPr>
        <w:pStyle w:val="2"/>
        <w:spacing w:after="120" w:line="338" w:lineRule="auto"/>
        <w:ind w:firstLine="2380" w:firstLineChars="494"/>
        <w:rPr>
          <w:rFonts w:ascii="Garamond" w:hAnsi="Garamond"/>
          <w:color w:val="000000" w:themeColor="text1"/>
          <w:sz w:val="48"/>
          <w:szCs w:val="48"/>
          <w:highlight w:val="none"/>
          <w14:textFill>
            <w14:solidFill>
              <w14:schemeClr w14:val="tx1"/>
            </w14:solidFill>
          </w14:textFill>
        </w:rPr>
      </w:pPr>
      <w:r>
        <w:rPr>
          <w:rFonts w:ascii="Garamond" w:hAnsi="Garamond"/>
          <w:color w:val="000000" w:themeColor="text1"/>
          <w:sz w:val="48"/>
          <w:szCs w:val="48"/>
          <w:highlight w:val="none"/>
          <w14:textFill>
            <w14:solidFill>
              <w14:schemeClr w14:val="tx1"/>
            </w14:solidFill>
          </w14:textFill>
        </w:rPr>
        <w:t>第一章  招标公告</w:t>
      </w:r>
      <w:bookmarkEnd w:id="13"/>
    </w:p>
    <w:bookmarkEnd w:id="2"/>
    <w:bookmarkEnd w:id="3"/>
    <w:p w14:paraId="1E5CB1C8">
      <w:pPr>
        <w:spacing w:line="360" w:lineRule="auto"/>
        <w:jc w:val="center"/>
        <w:rPr>
          <w:rFonts w:hint="eastAsia" w:ascii="Garamond" w:hAnsi="Garamond" w:eastAsia="宋体"/>
          <w:b/>
          <w:color w:val="000000" w:themeColor="text1"/>
          <w:sz w:val="28"/>
          <w:szCs w:val="28"/>
          <w:highlight w:val="none"/>
          <w:lang w:eastAsia="zh-CN"/>
          <w14:textFill>
            <w14:solidFill>
              <w14:schemeClr w14:val="tx1"/>
            </w14:solidFill>
          </w14:textFill>
        </w:rPr>
      </w:pPr>
      <w:r>
        <w:rPr>
          <w:rFonts w:hint="eastAsia" w:ascii="Garamond" w:hAnsi="Garamond"/>
          <w:b/>
          <w:color w:val="000000" w:themeColor="text1"/>
          <w:sz w:val="28"/>
          <w:szCs w:val="28"/>
          <w:highlight w:val="none"/>
          <w:lang w:eastAsia="zh-CN"/>
          <w14:textFill>
            <w14:solidFill>
              <w14:schemeClr w14:val="tx1"/>
            </w14:solidFill>
          </w14:textFill>
        </w:rPr>
        <w:t>525省道（328国道-沪陕高速）快速化改造方案研究项目</w:t>
      </w:r>
    </w:p>
    <w:p w14:paraId="1EC8BD02">
      <w:pPr>
        <w:spacing w:line="360" w:lineRule="auto"/>
        <w:jc w:val="center"/>
        <w:rPr>
          <w:rFonts w:ascii="Garamond" w:hAnsi="Garamond"/>
          <w:b/>
          <w:color w:val="000000" w:themeColor="text1"/>
          <w:sz w:val="28"/>
          <w:szCs w:val="28"/>
          <w:highlight w:val="none"/>
          <w14:textFill>
            <w14:solidFill>
              <w14:schemeClr w14:val="tx1"/>
            </w14:solidFill>
          </w14:textFill>
        </w:rPr>
      </w:pPr>
      <w:r>
        <w:rPr>
          <w:rFonts w:ascii="Garamond" w:hAnsi="Garamond"/>
          <w:b/>
          <w:color w:val="000000" w:themeColor="text1"/>
          <w:sz w:val="28"/>
          <w:szCs w:val="28"/>
          <w:highlight w:val="none"/>
          <w14:textFill>
            <w14:solidFill>
              <w14:schemeClr w14:val="tx1"/>
            </w14:solidFill>
          </w14:textFill>
        </w:rPr>
        <w:t>招标公告</w:t>
      </w:r>
    </w:p>
    <w:p w14:paraId="150D7D5F">
      <w:pPr>
        <w:keepNext w:val="0"/>
        <w:keepLines w:val="0"/>
        <w:pageBreakBefore w:val="0"/>
        <w:tabs>
          <w:tab w:val="left" w:pos="3240"/>
        </w:tabs>
        <w:kinsoku/>
        <w:wordWrap/>
        <w:overflowPunct/>
        <w:autoSpaceDE/>
        <w:autoSpaceDN/>
        <w:bidi w:val="0"/>
        <w:adjustRightInd w:val="0"/>
        <w:snapToGrid w:val="0"/>
        <w:spacing w:line="360" w:lineRule="auto"/>
        <w:textAlignment w:val="auto"/>
        <w:rPr>
          <w:rFonts w:hint="eastAsia" w:ascii="宋体" w:hAnsi="宋体" w:eastAsia="宋体" w:cs="宋体"/>
          <w:b/>
          <w:color w:val="000000" w:themeColor="text1"/>
          <w:sz w:val="24"/>
          <w:highlight w:val="non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一、招标条件</w:t>
      </w:r>
    </w:p>
    <w:p w14:paraId="18E69AD2">
      <w:pPr>
        <w:keepNext w:val="0"/>
        <w:keepLines w:val="0"/>
        <w:pageBreakBefore w:val="0"/>
        <w:widowControl/>
        <w:kinsoku/>
        <w:wordWrap/>
        <w:overflowPunct/>
        <w:topLine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u w:val="single"/>
          <w14:textFill>
            <w14:solidFill>
              <w14:schemeClr w14:val="tx1"/>
            </w14:solidFill>
          </w14:textFill>
        </w:rPr>
        <w:t>525省道（328国道-沪陕高速）快速化改造方案研究</w:t>
      </w:r>
      <w:r>
        <w:rPr>
          <w:rFonts w:hint="eastAsia" w:ascii="宋体" w:hAnsi="宋体" w:eastAsia="宋体" w:cs="宋体"/>
          <w:color w:val="000000" w:themeColor="text1"/>
          <w:szCs w:val="21"/>
          <w:highlight w:val="none"/>
          <w:u w:val="none"/>
          <w14:textFill>
            <w14:solidFill>
              <w14:schemeClr w14:val="tx1"/>
            </w14:solidFill>
          </w14:textFill>
        </w:rPr>
        <w:t>已列入</w:t>
      </w:r>
      <w:r>
        <w:rPr>
          <w:rFonts w:hint="eastAsia" w:ascii="宋体" w:hAnsi="宋体" w:eastAsia="宋体" w:cs="宋体"/>
          <w:color w:val="000000" w:themeColor="text1"/>
          <w:szCs w:val="21"/>
          <w:highlight w:val="none"/>
          <w:u w:val="single"/>
          <w14:textFill>
            <w14:solidFill>
              <w14:schemeClr w14:val="tx1"/>
            </w14:solidFill>
          </w14:textFill>
        </w:rPr>
        <w:t>《2025年市本级政府投资城建交通水利计划》</w:t>
      </w:r>
      <w:r>
        <w:rPr>
          <w:rFonts w:hint="eastAsia" w:ascii="宋体" w:hAnsi="宋体" w:eastAsia="宋体" w:cs="宋体"/>
          <w:color w:val="000000" w:themeColor="text1"/>
          <w:szCs w:val="21"/>
          <w:highlight w:val="none"/>
          <w:lang w:eastAsia="zh-CN"/>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委托人为</w:t>
      </w:r>
      <w:r>
        <w:rPr>
          <w:rFonts w:hint="eastAsia" w:ascii="宋体" w:hAnsi="宋体" w:eastAsia="宋体" w:cs="宋体"/>
          <w:color w:val="000000" w:themeColor="text1"/>
          <w:highlight w:val="none"/>
          <w:u w:val="single"/>
          <w14:textFill>
            <w14:solidFill>
              <w14:schemeClr w14:val="tx1"/>
            </w14:solidFill>
          </w14:textFill>
        </w:rPr>
        <w:t>南通市公路事业发展中心</w:t>
      </w:r>
      <w:r>
        <w:rPr>
          <w:rFonts w:hint="eastAsia" w:ascii="宋体" w:hAnsi="宋体" w:eastAsia="宋体" w:cs="宋体"/>
          <w:color w:val="000000" w:themeColor="text1"/>
          <w:highlight w:val="none"/>
          <w14:textFill>
            <w14:solidFill>
              <w14:schemeClr w14:val="tx1"/>
            </w14:solidFill>
          </w14:textFill>
        </w:rPr>
        <w:t>，建设资金来自</w:t>
      </w:r>
      <w:r>
        <w:rPr>
          <w:rFonts w:hint="eastAsia" w:ascii="宋体" w:hAnsi="宋体" w:eastAsia="宋体" w:cs="宋体"/>
          <w:color w:val="000000" w:themeColor="text1"/>
          <w:highlight w:val="none"/>
          <w:u w:val="single"/>
          <w14:textFill>
            <w14:solidFill>
              <w14:schemeClr w14:val="tx1"/>
            </w14:solidFill>
          </w14:textFill>
        </w:rPr>
        <w:t>2025年南通市城建交通计划</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出资比例为</w:t>
      </w:r>
      <w:r>
        <w:rPr>
          <w:rFonts w:hint="eastAsia" w:ascii="宋体" w:hAnsi="宋体" w:eastAsia="宋体" w:cs="宋体"/>
          <w:color w:val="000000" w:themeColor="text1"/>
          <w:highlight w:val="none"/>
          <w:u w:val="single"/>
          <w:lang w:val="en-US" w:eastAsia="zh-CN"/>
          <w14:textFill>
            <w14:solidFill>
              <w14:schemeClr w14:val="tx1"/>
            </w14:solidFill>
          </w14:textFill>
        </w:rPr>
        <w:t>100%</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招标人为</w:t>
      </w:r>
      <w:r>
        <w:rPr>
          <w:rFonts w:hint="eastAsia" w:ascii="宋体" w:hAnsi="宋体" w:eastAsia="宋体" w:cs="宋体"/>
          <w:color w:val="000000" w:themeColor="text1"/>
          <w:szCs w:val="21"/>
          <w:highlight w:val="none"/>
          <w:u w:val="single"/>
          <w14:textFill>
            <w14:solidFill>
              <w14:schemeClr w14:val="tx1"/>
            </w14:solidFill>
          </w14:textFill>
        </w:rPr>
        <w:t>南通市公路事业发展中心</w:t>
      </w:r>
      <w:r>
        <w:rPr>
          <w:rFonts w:hint="eastAsia" w:ascii="宋体" w:hAnsi="宋体" w:eastAsia="宋体" w:cs="宋体"/>
          <w:color w:val="000000" w:themeColor="text1"/>
          <w:szCs w:val="21"/>
          <w:highlight w:val="none"/>
          <w14:textFill>
            <w14:solidFill>
              <w14:schemeClr w14:val="tx1"/>
            </w14:solidFill>
          </w14:textFill>
        </w:rPr>
        <w:t>，招标代理为</w:t>
      </w:r>
      <w:r>
        <w:rPr>
          <w:rFonts w:hint="eastAsia" w:ascii="宋体" w:hAnsi="宋体" w:eastAsia="宋体" w:cs="宋体"/>
          <w:color w:val="000000" w:themeColor="text1"/>
          <w:szCs w:val="21"/>
          <w:highlight w:val="none"/>
          <w:u w:val="single"/>
          <w14:textFill>
            <w14:solidFill>
              <w14:schemeClr w14:val="tx1"/>
            </w14:solidFill>
          </w14:textFill>
        </w:rPr>
        <w:t>江苏睿致诚工程咨询有限公司</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highlight w:val="none"/>
          <w14:textFill>
            <w14:solidFill>
              <w14:schemeClr w14:val="tx1"/>
            </w14:solidFill>
          </w14:textFill>
        </w:rPr>
        <w:t>项目已具备招标条件，现对</w:t>
      </w:r>
      <w:r>
        <w:rPr>
          <w:rFonts w:hint="eastAsia" w:ascii="宋体" w:hAnsi="宋体" w:eastAsia="宋体" w:cs="宋体"/>
          <w:color w:val="000000" w:themeColor="text1"/>
          <w:highlight w:val="none"/>
          <w:u w:val="single"/>
          <w:lang w:eastAsia="zh-CN"/>
          <w14:textFill>
            <w14:solidFill>
              <w14:schemeClr w14:val="tx1"/>
            </w14:solidFill>
          </w14:textFill>
        </w:rPr>
        <w:t>525省道（328国道-沪陕高速）快速化改造方案研究项目</w:t>
      </w:r>
      <w:r>
        <w:rPr>
          <w:rFonts w:hint="eastAsia" w:ascii="宋体" w:hAnsi="宋体" w:eastAsia="宋体" w:cs="宋体"/>
          <w:color w:val="000000" w:themeColor="text1"/>
          <w:highlight w:val="none"/>
          <w14:textFill>
            <w14:solidFill>
              <w14:schemeClr w14:val="tx1"/>
            </w14:solidFill>
          </w14:textFill>
        </w:rPr>
        <w:t>进行公开招标。</w:t>
      </w:r>
      <w:r>
        <w:rPr>
          <w:rFonts w:hint="eastAsia" w:ascii="宋体" w:hAnsi="宋体" w:eastAsia="宋体" w:cs="宋体"/>
          <w:color w:val="000000" w:themeColor="text1"/>
          <w:szCs w:val="21"/>
          <w:highlight w:val="none"/>
          <w14:textFill>
            <w14:solidFill>
              <w14:schemeClr w14:val="tx1"/>
            </w14:solidFill>
          </w14:textFill>
        </w:rPr>
        <w:t>本项目采用资格后审方式。</w:t>
      </w:r>
    </w:p>
    <w:p w14:paraId="66EBD86D">
      <w:pPr>
        <w:keepNext w:val="0"/>
        <w:keepLines w:val="0"/>
        <w:pageBreakBefore w:val="0"/>
        <w:tabs>
          <w:tab w:val="left" w:pos="3240"/>
        </w:tabs>
        <w:kinsoku/>
        <w:wordWrap/>
        <w:overflowPunct/>
        <w:autoSpaceDE/>
        <w:autoSpaceDN/>
        <w:bidi w:val="0"/>
        <w:adjustRightInd w:val="0"/>
        <w:snapToGrid w:val="0"/>
        <w:spacing w:line="360" w:lineRule="auto"/>
        <w:textAlignment w:val="auto"/>
        <w:rPr>
          <w:rFonts w:hint="eastAsia" w:ascii="宋体" w:hAnsi="宋体" w:eastAsia="宋体" w:cs="宋体"/>
          <w:b/>
          <w:color w:val="000000" w:themeColor="text1"/>
          <w:sz w:val="24"/>
          <w:highlight w:val="non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二、项目概况与招标范围</w:t>
      </w:r>
    </w:p>
    <w:p w14:paraId="77119D60">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1、项目概况</w:t>
      </w:r>
    </w:p>
    <w:p w14:paraId="1E8DCB1B">
      <w:pPr>
        <w:keepNext w:val="0"/>
        <w:keepLines w:val="0"/>
        <w:pageBreakBefore w:val="0"/>
        <w:widowControl w:val="0"/>
        <w:numPr>
          <w:ilvl w:val="255"/>
          <w:numId w:val="0"/>
        </w:numPr>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525省道（328国道-沪陕高速）快速化改造路线全长约21公里，起于328国道交叉口，终于沪陕高速悦来互通，525省道现状为双向四车道一级公路标准，设计速度80Km/h，路基宽度25.5米。525省道（328国道-沪陕高速）快速化改造是增加通州湾核心区南向快速通道的需要，可实现通州湾与海门、南通主城区的快速联通。</w:t>
      </w:r>
    </w:p>
    <w:p w14:paraId="54491011">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2、招标范围与标段划分</w:t>
      </w:r>
    </w:p>
    <w:p w14:paraId="5BF0A118">
      <w:pPr>
        <w:keepNext w:val="0"/>
        <w:keepLines w:val="0"/>
        <w:pageBreakBefore w:val="0"/>
        <w:kinsoku/>
        <w:wordWrap/>
        <w:overflowPunct/>
        <w:autoSpaceDE/>
        <w:autoSpaceDN/>
        <w:bidi w:val="0"/>
        <w:spacing w:line="360" w:lineRule="auto"/>
        <w:ind w:firstLine="420" w:firstLineChars="200"/>
        <w:textAlignment w:val="auto"/>
        <w:rPr>
          <w:rFonts w:hint="eastAsia" w:ascii="宋体" w:hAnsi="宋体" w:eastAsia="宋体" w:cs="宋体"/>
          <w:sz w:val="21"/>
          <w:szCs w:val="21"/>
          <w:highlight w:val="none"/>
        </w:rPr>
      </w:pPr>
      <w:r>
        <w:rPr>
          <w:rFonts w:hint="eastAsia" w:ascii="宋体" w:hAnsi="宋体" w:eastAsia="宋体" w:cs="宋体"/>
          <w:color w:val="000000" w:themeColor="text1"/>
          <w:sz w:val="21"/>
          <w:szCs w:val="21"/>
          <w:highlight w:val="none"/>
          <w14:textFill>
            <w14:solidFill>
              <w14:schemeClr w14:val="tx1"/>
            </w14:solidFill>
          </w14:textFill>
        </w:rPr>
        <w:t>本</w:t>
      </w:r>
      <w:r>
        <w:rPr>
          <w:rFonts w:hint="eastAsia" w:ascii="宋体" w:hAnsi="宋体" w:eastAsia="宋体" w:cs="宋体"/>
          <w:sz w:val="21"/>
          <w:szCs w:val="21"/>
          <w:highlight w:val="none"/>
        </w:rPr>
        <w:t>拟将本项目划分为1个</w:t>
      </w:r>
      <w:r>
        <w:rPr>
          <w:rFonts w:hint="eastAsia" w:ascii="宋体" w:hAnsi="宋体" w:cs="宋体"/>
          <w:sz w:val="21"/>
          <w:szCs w:val="21"/>
          <w:highlight w:val="none"/>
          <w:lang w:eastAsia="zh-CN"/>
        </w:rPr>
        <w:t>标段</w:t>
      </w:r>
      <w:r>
        <w:rPr>
          <w:rFonts w:hint="eastAsia" w:ascii="宋体" w:hAnsi="宋体" w:eastAsia="宋体" w:cs="宋体"/>
          <w:sz w:val="21"/>
          <w:szCs w:val="21"/>
          <w:highlight w:val="none"/>
        </w:rPr>
        <w:t>，即2025GCGZ</w:t>
      </w:r>
      <w:r>
        <w:rPr>
          <w:rFonts w:hint="eastAsia" w:ascii="宋体" w:hAnsi="宋体" w:cs="宋体"/>
          <w:sz w:val="21"/>
          <w:szCs w:val="21"/>
          <w:highlight w:val="none"/>
          <w:lang w:val="en-US" w:eastAsia="zh-CN"/>
        </w:rPr>
        <w:t>标段</w:t>
      </w:r>
      <w:r>
        <w:rPr>
          <w:rFonts w:hint="eastAsia" w:ascii="宋体" w:hAnsi="宋体" w:eastAsia="宋体" w:cs="宋体"/>
          <w:sz w:val="21"/>
          <w:szCs w:val="21"/>
          <w:highlight w:val="none"/>
        </w:rPr>
        <w:t>，招标范围与内容如下：</w:t>
      </w:r>
    </w:p>
    <w:p w14:paraId="2BB6820E">
      <w:pPr>
        <w:keepNext w:val="0"/>
        <w:keepLines w:val="0"/>
        <w:pageBreakBefore w:val="0"/>
        <w:kinsoku/>
        <w:wordWrap/>
        <w:overflowPunct/>
        <w:autoSpaceDE/>
        <w:autoSpaceDN/>
        <w:bidi w:val="0"/>
        <w:spacing w:line="360" w:lineRule="auto"/>
        <w:ind w:firstLine="420" w:firstLineChars="200"/>
        <w:textAlignment w:val="auto"/>
        <w:rPr>
          <w:rFonts w:hint="eastAsia" w:ascii="宋体" w:hAnsi="宋体" w:eastAsia="宋体" w:cs="宋体"/>
          <w:b/>
          <w:bCs/>
          <w:sz w:val="21"/>
          <w:szCs w:val="21"/>
          <w:highlight w:val="none"/>
        </w:rPr>
      </w:pPr>
      <w:r>
        <w:rPr>
          <w:rFonts w:hint="eastAsia" w:ascii="宋体" w:hAnsi="宋体" w:cs="宋体"/>
          <w:b w:val="0"/>
          <w:bCs w:val="0"/>
          <w:sz w:val="21"/>
          <w:szCs w:val="21"/>
          <w:highlight w:val="none"/>
          <w:lang w:val="en-US" w:eastAsia="zh-CN"/>
        </w:rPr>
        <w:t>2.1</w:t>
      </w:r>
      <w:r>
        <w:rPr>
          <w:rFonts w:hint="eastAsia" w:ascii="宋体" w:hAnsi="宋体" w:eastAsia="宋体" w:cs="宋体"/>
          <w:b w:val="0"/>
          <w:bCs w:val="0"/>
          <w:sz w:val="21"/>
          <w:szCs w:val="21"/>
          <w:highlight w:val="none"/>
        </w:rPr>
        <w:t>招标范围</w:t>
      </w:r>
    </w:p>
    <w:p w14:paraId="7ECCE59C">
      <w:pPr>
        <w:keepNext w:val="0"/>
        <w:keepLines w:val="0"/>
        <w:pageBreakBefore w:val="0"/>
        <w:kinsoku/>
        <w:wordWrap/>
        <w:overflowPunct/>
        <w:autoSpaceDE/>
        <w:autoSpaceDN/>
        <w:bidi w:val="0"/>
        <w:spacing w:line="360" w:lineRule="auto"/>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对525省道（328国道-沪陕高速）全线（约21公里）开展快速化改造方案研究并提供后续服务</w:t>
      </w:r>
      <w:r>
        <w:rPr>
          <w:rFonts w:hint="eastAsia" w:ascii="宋体" w:hAnsi="宋体" w:eastAsia="宋体" w:cs="宋体"/>
          <w:kern w:val="0"/>
          <w:sz w:val="21"/>
          <w:szCs w:val="21"/>
          <w:highlight w:val="none"/>
        </w:rPr>
        <w:t>。</w:t>
      </w:r>
    </w:p>
    <w:p w14:paraId="15D2FCF3">
      <w:pPr>
        <w:keepNext w:val="0"/>
        <w:keepLines w:val="0"/>
        <w:pageBreakBefore w:val="0"/>
        <w:kinsoku/>
        <w:wordWrap/>
        <w:overflowPunct/>
        <w:autoSpaceDE/>
        <w:autoSpaceDN/>
        <w:bidi w:val="0"/>
        <w:spacing w:line="360" w:lineRule="auto"/>
        <w:ind w:firstLine="420" w:firstLineChars="200"/>
        <w:textAlignment w:val="auto"/>
        <w:rPr>
          <w:rFonts w:hint="eastAsia" w:ascii="宋体" w:hAnsi="宋体" w:eastAsia="宋体" w:cs="宋体"/>
          <w:b/>
          <w:bCs/>
          <w:sz w:val="21"/>
          <w:szCs w:val="21"/>
          <w:highlight w:val="none"/>
        </w:rPr>
      </w:pPr>
      <w:r>
        <w:rPr>
          <w:rFonts w:hint="eastAsia" w:ascii="宋体" w:hAnsi="宋体" w:cs="宋体"/>
          <w:b w:val="0"/>
          <w:bCs w:val="0"/>
          <w:sz w:val="21"/>
          <w:szCs w:val="21"/>
          <w:highlight w:val="none"/>
          <w:lang w:val="en-US" w:eastAsia="zh-CN"/>
        </w:rPr>
        <w:t>2.2</w:t>
      </w:r>
      <w:r>
        <w:rPr>
          <w:rFonts w:hint="eastAsia" w:ascii="宋体" w:hAnsi="宋体" w:eastAsia="宋体" w:cs="宋体"/>
          <w:b w:val="0"/>
          <w:bCs w:val="0"/>
          <w:sz w:val="21"/>
          <w:szCs w:val="21"/>
          <w:highlight w:val="none"/>
        </w:rPr>
        <w:t>招标内容</w:t>
      </w:r>
    </w:p>
    <w:p w14:paraId="32A90137">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sz w:val="21"/>
          <w:szCs w:val="21"/>
          <w:highlight w:val="none"/>
        </w:rPr>
        <w:t>主要研究内容：通过现场踏勘、调研，收集现状及规划资料，开展区域路网趋势分析和交通流量需求预测分析。结合沿线城镇规划、产业布局、土地开发及路网结构等因素，对快速化改造进行方案研究，对不同的方案从经济、技术、环境、用地等方面进行综合论证，提出推荐方案。针对本次改造，分析明确其功能定位、总体方案、建设规模、技术标准、投资估算等，结合路网规划研究，提出线位选址、规划设计方案、</w:t>
      </w:r>
      <w:r>
        <w:rPr>
          <w:rFonts w:hint="eastAsia" w:ascii="宋体" w:hAnsi="宋体" w:eastAsia="宋体" w:cs="宋体"/>
          <w:sz w:val="21"/>
          <w:szCs w:val="21"/>
          <w:highlight w:val="none"/>
          <w:lang w:val="en-US" w:eastAsia="zh-CN"/>
        </w:rPr>
        <w:t>建设模式、项目投融资、</w:t>
      </w:r>
      <w:r>
        <w:rPr>
          <w:rFonts w:hint="eastAsia" w:ascii="宋体" w:hAnsi="宋体" w:eastAsia="宋体" w:cs="宋体"/>
          <w:sz w:val="21"/>
          <w:szCs w:val="21"/>
          <w:highlight w:val="none"/>
        </w:rPr>
        <w:t>建设时机、建设时序等相关建议，</w:t>
      </w:r>
      <w:r>
        <w:rPr>
          <w:rFonts w:hint="eastAsia" w:ascii="宋体" w:hAnsi="宋体" w:cs="宋体"/>
          <w:sz w:val="21"/>
          <w:szCs w:val="21"/>
          <w:highlight w:val="none"/>
          <w:lang w:eastAsia="zh-CN"/>
        </w:rPr>
        <w:t>配合招标人完成市级审查及汇报工作</w:t>
      </w:r>
      <w:r>
        <w:rPr>
          <w:rFonts w:hint="eastAsia" w:ascii="宋体" w:hAnsi="宋体" w:eastAsia="宋体" w:cs="宋体"/>
          <w:sz w:val="21"/>
          <w:szCs w:val="21"/>
          <w:highlight w:val="none"/>
        </w:rPr>
        <w:t>，并提供</w:t>
      </w:r>
      <w:r>
        <w:rPr>
          <w:rFonts w:hint="eastAsia" w:ascii="宋体" w:hAnsi="宋体" w:eastAsia="宋体" w:cs="宋体"/>
          <w:sz w:val="21"/>
          <w:szCs w:val="21"/>
          <w:highlight w:val="none"/>
          <w:lang w:val="en-US" w:eastAsia="zh-CN"/>
        </w:rPr>
        <w:t>最终研究成果</w:t>
      </w:r>
      <w:r>
        <w:rPr>
          <w:rFonts w:hint="eastAsia" w:ascii="宋体" w:hAnsi="宋体" w:eastAsia="宋体" w:cs="宋体"/>
          <w:kern w:val="0"/>
          <w:sz w:val="21"/>
          <w:szCs w:val="21"/>
          <w:highlight w:val="none"/>
        </w:rPr>
        <w:t>。</w:t>
      </w:r>
    </w:p>
    <w:p w14:paraId="5BFB3315">
      <w:pPr>
        <w:keepNext w:val="0"/>
        <w:keepLines w:val="0"/>
        <w:pageBreakBefore w:val="0"/>
        <w:kinsoku/>
        <w:wordWrap/>
        <w:overflowPunct/>
        <w:autoSpaceDE/>
        <w:autoSpaceDN/>
        <w:bidi w:val="0"/>
        <w:spacing w:line="360" w:lineRule="auto"/>
        <w:ind w:firstLine="420" w:firstLineChars="20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3、服务期</w:t>
      </w:r>
    </w:p>
    <w:p w14:paraId="02F06B85">
      <w:pPr>
        <w:keepNext w:val="0"/>
        <w:keepLines w:val="0"/>
        <w:pageBreakBefore w:val="0"/>
        <w:kinsoku/>
        <w:wordWrap/>
        <w:overflowPunct/>
        <w:autoSpaceDE/>
        <w:autoSpaceDN/>
        <w:bidi w:val="0"/>
        <w:spacing w:line="360" w:lineRule="auto"/>
        <w:ind w:firstLine="420" w:firstLineChars="20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本项目服务期为自合同签订之日起至最终成果通过市级审查且修改完善之日止。具体要求为：</w:t>
      </w:r>
    </w:p>
    <w:p w14:paraId="0014939E">
      <w:pPr>
        <w:keepNext w:val="0"/>
        <w:keepLines w:val="0"/>
        <w:pageBreakBefore w:val="0"/>
        <w:kinsoku/>
        <w:wordWrap/>
        <w:overflowPunct/>
        <w:autoSpaceDE/>
        <w:autoSpaceDN/>
        <w:bidi w:val="0"/>
        <w:spacing w:line="360" w:lineRule="auto"/>
        <w:ind w:firstLine="420" w:firstLineChars="20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2025年6月30日前，完成方案研究大纲</w:t>
      </w:r>
      <w:r>
        <w:rPr>
          <w:rFonts w:hint="eastAsia" w:ascii="宋体" w:hAnsi="宋体" w:eastAsia="宋体" w:cs="宋体"/>
          <w:color w:val="000000" w:themeColor="text1"/>
          <w:szCs w:val="21"/>
          <w:highlight w:val="none"/>
          <w:lang w:val="en-US" w:eastAsia="zh-CN"/>
          <w14:textFill>
            <w14:solidFill>
              <w14:schemeClr w14:val="tx1"/>
            </w14:solidFill>
          </w14:textFill>
        </w:rPr>
        <w:t>评</w:t>
      </w:r>
      <w:r>
        <w:rPr>
          <w:rFonts w:hint="eastAsia" w:ascii="宋体" w:hAnsi="宋体" w:eastAsia="宋体" w:cs="宋体"/>
          <w:color w:val="000000" w:themeColor="text1"/>
          <w:szCs w:val="21"/>
          <w:highlight w:val="none"/>
          <w14:textFill>
            <w14:solidFill>
              <w14:schemeClr w14:val="tx1"/>
            </w14:solidFill>
          </w14:textFill>
        </w:rPr>
        <w:t>审；2025年9月30日前，形成方案研究中间成果；2025年11月30日前，完成方案研究报告，并通过市级审查。</w:t>
      </w:r>
    </w:p>
    <w:p w14:paraId="7854B1C1">
      <w:pPr>
        <w:keepNext w:val="0"/>
        <w:keepLines w:val="0"/>
        <w:pageBreakBefore w:val="0"/>
        <w:tabs>
          <w:tab w:val="left" w:pos="3240"/>
        </w:tabs>
        <w:kinsoku/>
        <w:wordWrap/>
        <w:overflowPunct/>
        <w:autoSpaceDE/>
        <w:autoSpaceDN/>
        <w:bidi w:val="0"/>
        <w:adjustRightInd w:val="0"/>
        <w:snapToGrid w:val="0"/>
        <w:spacing w:line="360" w:lineRule="auto"/>
        <w:textAlignment w:val="auto"/>
        <w:rPr>
          <w:rFonts w:hint="eastAsia" w:ascii="宋体" w:hAnsi="宋体" w:eastAsia="宋体" w:cs="宋体"/>
          <w:b/>
          <w:color w:val="000000" w:themeColor="text1"/>
          <w:sz w:val="24"/>
          <w:highlight w:val="non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三、投标人资格要求</w:t>
      </w:r>
    </w:p>
    <w:p w14:paraId="114A0C6D">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1、投标人应具备的承担本次招标项目的资质条件、能力和信誉，具体要求为：</w:t>
      </w:r>
    </w:p>
    <w:p w14:paraId="0AB8B88C">
      <w:pPr>
        <w:pStyle w:val="16"/>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）投标人应为独立法人，具有有效的基本账户开户许可证（或基本存款账户信息）。</w:t>
      </w:r>
    </w:p>
    <w:p w14:paraId="4B3F6C62">
      <w:pPr>
        <w:pStyle w:val="16"/>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2</w:t>
      </w:r>
      <w:r>
        <w:rPr>
          <w:rFonts w:hint="eastAsia" w:ascii="宋体" w:hAnsi="宋体" w:eastAsia="宋体" w:cs="宋体"/>
          <w:color w:val="000000" w:themeColor="text1"/>
          <w:highlight w:val="none"/>
          <w14:textFill>
            <w14:solidFill>
              <w14:schemeClr w14:val="tx1"/>
            </w14:solidFill>
          </w14:textFill>
        </w:rPr>
        <w:t>）资质要求</w:t>
      </w:r>
    </w:p>
    <w:p w14:paraId="0F6496F1">
      <w:pPr>
        <w:pStyle w:val="16"/>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投标人应具有国家建设行政主管部门颁发的有效的工程设计综合甲级资质或公路行业甲级设计资质或公路行业（公路工程）专业甲级设计资质或在全国投资项目在线审批监管平台</w:t>
      </w:r>
      <w:r>
        <w:rPr>
          <w:rFonts w:hint="eastAsia" w:ascii="宋体" w:hAnsi="宋体" w:eastAsia="宋体" w:cs="宋体"/>
          <w:color w:val="000000" w:themeColor="text1"/>
          <w:highlight w:val="none"/>
          <w:lang w:eastAsia="zh-CN"/>
          <w14:textFill>
            <w14:solidFill>
              <w14:schemeClr w14:val="tx1"/>
            </w14:solidFill>
          </w14:textFill>
        </w:rPr>
        <w:t>有</w:t>
      </w:r>
      <w:r>
        <w:rPr>
          <w:rFonts w:hint="eastAsia" w:ascii="宋体" w:hAnsi="宋体" w:eastAsia="宋体" w:cs="宋体"/>
          <w:color w:val="000000" w:themeColor="text1"/>
          <w:highlight w:val="none"/>
          <w14:textFill>
            <w14:solidFill>
              <w14:schemeClr w14:val="tx1"/>
            </w14:solidFill>
          </w14:textFill>
        </w:rPr>
        <w:t>备案</w:t>
      </w:r>
      <w:r>
        <w:rPr>
          <w:rFonts w:hint="eastAsia" w:ascii="宋体" w:hAnsi="宋体" w:eastAsia="宋体" w:cs="宋体"/>
          <w:color w:val="000000" w:themeColor="text1"/>
          <w:highlight w:val="none"/>
          <w:lang w:eastAsia="zh-CN"/>
          <w14:textFill>
            <w14:solidFill>
              <w14:schemeClr w14:val="tx1"/>
            </w14:solidFill>
          </w14:textFill>
        </w:rPr>
        <w:t>记录</w:t>
      </w:r>
      <w:r>
        <w:rPr>
          <w:rFonts w:hint="eastAsia" w:ascii="宋体" w:hAnsi="宋体" w:eastAsia="宋体" w:cs="宋体"/>
          <w:color w:val="000000" w:themeColor="text1"/>
          <w:highlight w:val="none"/>
          <w14:textFill>
            <w14:solidFill>
              <w14:schemeClr w14:val="tx1"/>
            </w14:solidFill>
          </w14:textFill>
        </w:rPr>
        <w:t>（咨询专业为公路，咨询服务范围包括项目咨询）。</w:t>
      </w:r>
    </w:p>
    <w:p w14:paraId="14DA4569">
      <w:pPr>
        <w:pStyle w:val="16"/>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3</w:t>
      </w:r>
      <w:r>
        <w:rPr>
          <w:rFonts w:hint="eastAsia" w:ascii="宋体" w:hAnsi="宋体" w:eastAsia="宋体" w:cs="宋体"/>
          <w:color w:val="000000" w:themeColor="text1"/>
          <w:highlight w:val="none"/>
          <w14:textFill>
            <w14:solidFill>
              <w14:schemeClr w14:val="tx1"/>
            </w14:solidFill>
          </w14:textFill>
        </w:rPr>
        <w:t>）业绩要求</w:t>
      </w:r>
    </w:p>
    <w:p w14:paraId="50284E64">
      <w:pPr>
        <w:pStyle w:val="16"/>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自2020年1月1日以来（以合同签订日期为准），投标人承担过已完成的一级（或以上）公路新建（或改建或扩建）工程的方案研究（或预可行性研究或可行性研究或设计）项目。</w:t>
      </w:r>
    </w:p>
    <w:p w14:paraId="41147610">
      <w:pPr>
        <w:pStyle w:val="16"/>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14:textFill>
            <w14:solidFill>
              <w14:schemeClr w14:val="tx1"/>
            </w14:solidFill>
          </w14:textFill>
        </w:rPr>
        <w:t>）项目负责人要求</w:t>
      </w:r>
    </w:p>
    <w:p w14:paraId="68184647">
      <w:pPr>
        <w:pStyle w:val="16"/>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①具有高级工程师（或副教授）或以上技术职称</w:t>
      </w:r>
      <w:r>
        <w:rPr>
          <w:rFonts w:hint="eastAsia" w:ascii="宋体" w:hAnsi="宋体" w:eastAsia="宋体" w:cs="宋体"/>
          <w:color w:val="000000" w:themeColor="text1"/>
          <w:highlight w:val="none"/>
          <w:lang w:eastAsia="zh-CN"/>
          <w14:textFill>
            <w14:solidFill>
              <w14:schemeClr w14:val="tx1"/>
            </w14:solidFill>
          </w14:textFill>
        </w:rPr>
        <w:t>。</w:t>
      </w:r>
    </w:p>
    <w:p w14:paraId="2C1B81D5">
      <w:pPr>
        <w:pStyle w:val="16"/>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②</w:t>
      </w:r>
      <w:r>
        <w:rPr>
          <w:rFonts w:hint="eastAsia" w:ascii="宋体" w:hAnsi="宋体" w:eastAsia="宋体" w:cs="宋体"/>
          <w:color w:val="000000" w:themeColor="text1"/>
          <w:highlight w:val="none"/>
          <w14:textFill>
            <w14:solidFill>
              <w14:schemeClr w14:val="tx1"/>
            </w14:solidFill>
          </w14:textFill>
        </w:rPr>
        <w:t>自2020年1月1日以来（以合同签订日期为准），项目负责人担任过已完成的一级（或以上）公路新建（或改建或扩建）工程的方案研究（或预可行性研究或可行性研究或设计）项目的项目负责人（或技术负责人）。</w:t>
      </w:r>
    </w:p>
    <w:p w14:paraId="6ECD7623">
      <w:pPr>
        <w:pStyle w:val="16"/>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③</w:t>
      </w:r>
      <w:r>
        <w:rPr>
          <w:rFonts w:hint="eastAsia" w:ascii="宋体" w:hAnsi="宋体" w:eastAsia="宋体" w:cs="宋体"/>
          <w:color w:val="000000" w:themeColor="text1"/>
          <w:highlight w:val="none"/>
          <w14:textFill>
            <w14:solidFill>
              <w14:schemeClr w14:val="tx1"/>
            </w14:solidFill>
          </w14:textFill>
        </w:rPr>
        <w:t>投标人拟投入本项目的项目负责人须为投标人正式职工，出具投标人为其缴纳的投标当月至投标当月开始往前5个月中，任意连续3个月的社保缴费证明</w:t>
      </w:r>
      <w:r>
        <w:rPr>
          <w:rFonts w:hint="eastAsia" w:ascii="宋体" w:hAnsi="宋体"/>
          <w:szCs w:val="21"/>
          <w:highlight w:val="none"/>
        </w:rPr>
        <w:t>（例如：若开标时间为202</w:t>
      </w:r>
      <w:r>
        <w:rPr>
          <w:rFonts w:hint="eastAsia" w:ascii="宋体" w:hAnsi="宋体"/>
          <w:szCs w:val="21"/>
          <w:highlight w:val="none"/>
          <w:lang w:val="en-US" w:eastAsia="zh-CN"/>
        </w:rPr>
        <w:t>5</w:t>
      </w:r>
      <w:r>
        <w:rPr>
          <w:rFonts w:hint="eastAsia" w:ascii="宋体" w:hAnsi="宋体"/>
          <w:szCs w:val="21"/>
          <w:highlight w:val="none"/>
        </w:rPr>
        <w:t>年</w:t>
      </w:r>
      <w:r>
        <w:rPr>
          <w:rFonts w:hint="eastAsia" w:ascii="宋体" w:hAnsi="宋体"/>
          <w:szCs w:val="21"/>
          <w:highlight w:val="none"/>
          <w:lang w:val="en-US" w:eastAsia="zh-CN"/>
        </w:rPr>
        <w:t>4</w:t>
      </w:r>
      <w:r>
        <w:rPr>
          <w:rFonts w:hint="eastAsia" w:ascii="宋体" w:hAnsi="宋体"/>
          <w:szCs w:val="21"/>
          <w:highlight w:val="none"/>
        </w:rPr>
        <w:t>月，</w:t>
      </w:r>
      <w:bookmarkStart w:id="85" w:name="_GoBack"/>
      <w:r>
        <w:rPr>
          <w:rFonts w:hint="eastAsia" w:ascii="宋体" w:hAnsi="宋体"/>
          <w:szCs w:val="21"/>
          <w:highlight w:val="none"/>
        </w:rPr>
        <w:t>则投标当月至投标当月开始往前5个月指202</w:t>
      </w:r>
      <w:r>
        <w:rPr>
          <w:rFonts w:hint="eastAsia" w:ascii="宋体" w:hAnsi="宋体"/>
          <w:szCs w:val="21"/>
          <w:highlight w:val="none"/>
          <w:lang w:val="en-US" w:eastAsia="zh-CN"/>
        </w:rPr>
        <w:t>4</w:t>
      </w:r>
      <w:r>
        <w:rPr>
          <w:rFonts w:hint="eastAsia" w:ascii="宋体" w:hAnsi="宋体"/>
          <w:szCs w:val="21"/>
          <w:highlight w:val="none"/>
        </w:rPr>
        <w:t>年</w:t>
      </w:r>
      <w:r>
        <w:rPr>
          <w:rFonts w:hint="eastAsia" w:ascii="宋体" w:hAnsi="宋体"/>
          <w:szCs w:val="21"/>
          <w:highlight w:val="none"/>
          <w:lang w:val="en-US" w:eastAsia="zh-CN"/>
        </w:rPr>
        <w:t>12</w:t>
      </w:r>
      <w:r>
        <w:rPr>
          <w:rFonts w:hint="eastAsia" w:ascii="宋体" w:hAnsi="宋体"/>
          <w:szCs w:val="21"/>
          <w:highlight w:val="none"/>
        </w:rPr>
        <w:t>月至202</w:t>
      </w:r>
      <w:r>
        <w:rPr>
          <w:rFonts w:hint="eastAsia" w:ascii="宋体" w:hAnsi="宋体"/>
          <w:szCs w:val="21"/>
          <w:highlight w:val="none"/>
          <w:lang w:val="en-US" w:eastAsia="zh-CN"/>
        </w:rPr>
        <w:t>5</w:t>
      </w:r>
      <w:r>
        <w:rPr>
          <w:rFonts w:hint="eastAsia" w:ascii="宋体" w:hAnsi="宋体"/>
          <w:szCs w:val="21"/>
          <w:highlight w:val="none"/>
        </w:rPr>
        <w:t>年</w:t>
      </w:r>
      <w:r>
        <w:rPr>
          <w:rFonts w:hint="eastAsia" w:ascii="宋体" w:hAnsi="宋体"/>
          <w:szCs w:val="21"/>
          <w:highlight w:val="none"/>
          <w:lang w:val="en-US" w:eastAsia="zh-CN"/>
        </w:rPr>
        <w:t>4</w:t>
      </w:r>
      <w:r>
        <w:rPr>
          <w:rFonts w:hint="eastAsia" w:ascii="宋体" w:hAnsi="宋体"/>
          <w:szCs w:val="21"/>
          <w:highlight w:val="none"/>
        </w:rPr>
        <w:t>月，出具的社保缴费证明时间段应为202</w:t>
      </w:r>
      <w:r>
        <w:rPr>
          <w:rFonts w:hint="eastAsia" w:ascii="宋体" w:hAnsi="宋体"/>
          <w:szCs w:val="21"/>
          <w:highlight w:val="none"/>
          <w:lang w:val="en-US" w:eastAsia="zh-CN"/>
        </w:rPr>
        <w:t>4</w:t>
      </w:r>
      <w:r>
        <w:rPr>
          <w:rFonts w:hint="eastAsia" w:ascii="宋体" w:hAnsi="宋体"/>
          <w:szCs w:val="21"/>
          <w:highlight w:val="none"/>
        </w:rPr>
        <w:t>年</w:t>
      </w:r>
      <w:r>
        <w:rPr>
          <w:rFonts w:hint="eastAsia" w:ascii="宋体" w:hAnsi="宋体"/>
          <w:szCs w:val="21"/>
          <w:highlight w:val="none"/>
          <w:lang w:val="en-US" w:eastAsia="zh-CN"/>
        </w:rPr>
        <w:t>12</w:t>
      </w:r>
      <w:r>
        <w:rPr>
          <w:rFonts w:hint="eastAsia" w:ascii="宋体" w:hAnsi="宋体"/>
          <w:szCs w:val="21"/>
          <w:highlight w:val="none"/>
        </w:rPr>
        <w:t>月~202</w:t>
      </w:r>
      <w:r>
        <w:rPr>
          <w:rFonts w:hint="eastAsia" w:ascii="宋体" w:hAnsi="宋体"/>
          <w:szCs w:val="21"/>
          <w:highlight w:val="none"/>
          <w:lang w:val="en-US" w:eastAsia="zh-CN"/>
        </w:rPr>
        <w:t>5</w:t>
      </w:r>
      <w:r>
        <w:rPr>
          <w:rFonts w:hint="eastAsia" w:ascii="宋体" w:hAnsi="宋体"/>
          <w:szCs w:val="21"/>
          <w:highlight w:val="none"/>
        </w:rPr>
        <w:t>年</w:t>
      </w:r>
      <w:r>
        <w:rPr>
          <w:rFonts w:hint="eastAsia" w:ascii="宋体" w:hAnsi="宋体"/>
          <w:szCs w:val="21"/>
          <w:highlight w:val="none"/>
          <w:lang w:val="en-US" w:eastAsia="zh-CN"/>
        </w:rPr>
        <w:t>2</w:t>
      </w:r>
      <w:r>
        <w:rPr>
          <w:rFonts w:hint="eastAsia" w:ascii="宋体" w:hAnsi="宋体"/>
          <w:szCs w:val="21"/>
          <w:highlight w:val="none"/>
        </w:rPr>
        <w:t>月或202</w:t>
      </w:r>
      <w:r>
        <w:rPr>
          <w:rFonts w:hint="eastAsia" w:ascii="宋体" w:hAnsi="宋体"/>
          <w:szCs w:val="21"/>
          <w:highlight w:val="none"/>
          <w:lang w:val="en-US" w:eastAsia="zh-CN"/>
        </w:rPr>
        <w:t>5</w:t>
      </w:r>
      <w:r>
        <w:rPr>
          <w:rFonts w:hint="eastAsia" w:ascii="宋体" w:hAnsi="宋体"/>
          <w:szCs w:val="21"/>
          <w:highlight w:val="none"/>
        </w:rPr>
        <w:t>年</w:t>
      </w:r>
      <w:r>
        <w:rPr>
          <w:rFonts w:hint="eastAsia" w:ascii="宋体" w:hAnsi="宋体"/>
          <w:szCs w:val="21"/>
          <w:highlight w:val="none"/>
          <w:lang w:val="en-US" w:eastAsia="zh-CN"/>
        </w:rPr>
        <w:t>1</w:t>
      </w:r>
      <w:r>
        <w:rPr>
          <w:rFonts w:hint="eastAsia" w:ascii="宋体" w:hAnsi="宋体"/>
          <w:szCs w:val="21"/>
          <w:highlight w:val="none"/>
        </w:rPr>
        <w:t>月~202</w:t>
      </w:r>
      <w:r>
        <w:rPr>
          <w:rFonts w:hint="eastAsia" w:ascii="宋体" w:hAnsi="宋体"/>
          <w:szCs w:val="21"/>
          <w:highlight w:val="none"/>
          <w:lang w:val="en-US" w:eastAsia="zh-CN"/>
        </w:rPr>
        <w:t>5</w:t>
      </w:r>
      <w:r>
        <w:rPr>
          <w:rFonts w:hint="eastAsia" w:ascii="宋体" w:hAnsi="宋体"/>
          <w:szCs w:val="21"/>
          <w:highlight w:val="none"/>
        </w:rPr>
        <w:t>年</w:t>
      </w:r>
      <w:r>
        <w:rPr>
          <w:rFonts w:hint="eastAsia" w:ascii="宋体" w:hAnsi="宋体"/>
          <w:szCs w:val="21"/>
          <w:highlight w:val="none"/>
          <w:lang w:val="en-US" w:eastAsia="zh-CN"/>
        </w:rPr>
        <w:t>3</w:t>
      </w:r>
      <w:r>
        <w:rPr>
          <w:rFonts w:hint="eastAsia" w:ascii="宋体" w:hAnsi="宋体"/>
          <w:szCs w:val="21"/>
          <w:highlight w:val="none"/>
        </w:rPr>
        <w:t>月或202</w:t>
      </w:r>
      <w:r>
        <w:rPr>
          <w:rFonts w:hint="eastAsia" w:ascii="宋体" w:hAnsi="宋体"/>
          <w:szCs w:val="21"/>
          <w:highlight w:val="none"/>
          <w:lang w:val="en-US" w:eastAsia="zh-CN"/>
        </w:rPr>
        <w:t>5</w:t>
      </w:r>
      <w:r>
        <w:rPr>
          <w:rFonts w:hint="eastAsia" w:ascii="宋体" w:hAnsi="宋体"/>
          <w:szCs w:val="21"/>
          <w:highlight w:val="none"/>
        </w:rPr>
        <w:t>年</w:t>
      </w:r>
      <w:r>
        <w:rPr>
          <w:rFonts w:hint="eastAsia" w:ascii="宋体" w:hAnsi="宋体"/>
          <w:szCs w:val="21"/>
          <w:highlight w:val="none"/>
          <w:lang w:val="en-US" w:eastAsia="zh-CN"/>
        </w:rPr>
        <w:t>2</w:t>
      </w:r>
      <w:r>
        <w:rPr>
          <w:rFonts w:hint="eastAsia" w:ascii="宋体" w:hAnsi="宋体"/>
          <w:szCs w:val="21"/>
          <w:highlight w:val="none"/>
        </w:rPr>
        <w:t>月~202</w:t>
      </w:r>
      <w:r>
        <w:rPr>
          <w:rFonts w:hint="eastAsia" w:ascii="宋体" w:hAnsi="宋体"/>
          <w:szCs w:val="21"/>
          <w:highlight w:val="none"/>
          <w:lang w:val="en-US" w:eastAsia="zh-CN"/>
        </w:rPr>
        <w:t>5</w:t>
      </w:r>
      <w:r>
        <w:rPr>
          <w:rFonts w:hint="eastAsia" w:ascii="宋体" w:hAnsi="宋体"/>
          <w:szCs w:val="21"/>
          <w:highlight w:val="none"/>
        </w:rPr>
        <w:t>年</w:t>
      </w:r>
      <w:r>
        <w:rPr>
          <w:rFonts w:hint="eastAsia" w:ascii="宋体" w:hAnsi="宋体"/>
          <w:szCs w:val="21"/>
          <w:highlight w:val="none"/>
          <w:lang w:val="en-US" w:eastAsia="zh-CN"/>
        </w:rPr>
        <w:t>4</w:t>
      </w:r>
      <w:r>
        <w:rPr>
          <w:rFonts w:hint="eastAsia" w:ascii="宋体" w:hAnsi="宋体"/>
          <w:szCs w:val="21"/>
          <w:highlight w:val="none"/>
        </w:rPr>
        <w:t>月）</w:t>
      </w:r>
      <w:r>
        <w:rPr>
          <w:rFonts w:hint="eastAsia" w:ascii="宋体" w:hAnsi="宋体" w:eastAsia="宋体" w:cs="宋体"/>
          <w:color w:val="000000" w:themeColor="text1"/>
          <w:highlight w:val="none"/>
          <w14:textFill>
            <w14:solidFill>
              <w14:schemeClr w14:val="tx1"/>
            </w14:solidFill>
          </w14:textFill>
        </w:rPr>
        <w:t>。</w:t>
      </w:r>
      <w:bookmarkEnd w:id="85"/>
    </w:p>
    <w:p w14:paraId="03C29B0B">
      <w:pPr>
        <w:pStyle w:val="16"/>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社保缴纳证明材料需含缴费起止时间、缴费单位、缴费人员姓名并由社保机构加盖缴费证明专用章，社保机构官网上打印件与线下的盖章件具有同等效力，缴费单位须与投标人名称一致（投标人下属不具备独立法人资格的分支机构缴纳的社保视为本单位）。</w:t>
      </w:r>
    </w:p>
    <w:p w14:paraId="4DE15FD2">
      <w:pPr>
        <w:pStyle w:val="16"/>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5</w:t>
      </w:r>
      <w:r>
        <w:rPr>
          <w:rFonts w:hint="eastAsia" w:ascii="宋体" w:hAnsi="宋体" w:eastAsia="宋体" w:cs="宋体"/>
          <w:color w:val="000000" w:themeColor="text1"/>
          <w:highlight w:val="none"/>
          <w14:textFill>
            <w14:solidFill>
              <w14:schemeClr w14:val="tx1"/>
            </w14:solidFill>
          </w14:textFill>
        </w:rPr>
        <w:t>）信誉要求：</w:t>
      </w:r>
    </w:p>
    <w:p w14:paraId="6875857E">
      <w:pPr>
        <w:pStyle w:val="16"/>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截止投标文件递交时间当</w:t>
      </w:r>
      <w:r>
        <w:rPr>
          <w:rFonts w:hint="eastAsia" w:ascii="宋体" w:hAnsi="宋体" w:cs="宋体"/>
          <w:color w:val="000000" w:themeColor="text1"/>
          <w:highlight w:val="none"/>
          <w:lang w:val="en-US" w:eastAsia="zh-CN"/>
          <w14:textFill>
            <w14:solidFill>
              <w14:schemeClr w14:val="tx1"/>
            </w14:solidFill>
          </w14:textFill>
        </w:rPr>
        <w:t>时</w:t>
      </w:r>
      <w:r>
        <w:rPr>
          <w:rFonts w:hint="eastAsia" w:ascii="宋体" w:hAnsi="宋体" w:eastAsia="宋体" w:cs="宋体"/>
          <w:color w:val="000000" w:themeColor="text1"/>
          <w:highlight w:val="none"/>
          <w14:textFill>
            <w14:solidFill>
              <w14:schemeClr w14:val="tx1"/>
            </w14:solidFill>
          </w14:textFill>
        </w:rPr>
        <w:t>，投标人在最近一次江苏交通项目的信用档案等级评定中被评为C级或以上级别（信用类别：服务</w:t>
      </w:r>
      <w:r>
        <w:rPr>
          <w:rFonts w:hint="eastAsia" w:ascii="宋体" w:hAnsi="宋体" w:cs="宋体"/>
          <w:color w:val="000000" w:themeColor="text1"/>
          <w:highlight w:val="none"/>
          <w:lang w:val="en-US" w:eastAsia="zh-CN"/>
          <w14:textFill>
            <w14:solidFill>
              <w14:schemeClr w14:val="tx1"/>
            </w14:solidFill>
          </w14:textFill>
        </w:rPr>
        <w:t>类</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cs="宋体"/>
          <w:color w:val="000000" w:themeColor="text1"/>
          <w:highlight w:val="none"/>
          <w:lang w:eastAsia="zh-CN"/>
          <w14:textFill>
            <w14:solidFill>
              <w14:schemeClr w14:val="tx1"/>
            </w14:solidFill>
          </w14:textFill>
        </w:rPr>
        <w:t>。</w:t>
      </w:r>
    </w:p>
    <w:p w14:paraId="28A6ED3A">
      <w:pPr>
        <w:pStyle w:val="16"/>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截止投标文件递交时间当</w:t>
      </w:r>
      <w:r>
        <w:rPr>
          <w:rFonts w:hint="eastAsia" w:ascii="宋体" w:hAnsi="宋体" w:cs="宋体"/>
          <w:color w:val="000000" w:themeColor="text1"/>
          <w:highlight w:val="none"/>
          <w:lang w:val="en-US" w:eastAsia="zh-CN"/>
          <w14:textFill>
            <w14:solidFill>
              <w14:schemeClr w14:val="tx1"/>
            </w14:solidFill>
          </w14:textFill>
        </w:rPr>
        <w:t>时</w:t>
      </w:r>
      <w:r>
        <w:rPr>
          <w:rFonts w:hint="eastAsia" w:ascii="宋体" w:hAnsi="宋体" w:eastAsia="宋体" w:cs="宋体"/>
          <w:color w:val="000000" w:themeColor="text1"/>
          <w:highlight w:val="none"/>
          <w14:textFill>
            <w14:solidFill>
              <w14:schemeClr w14:val="tx1"/>
            </w14:solidFill>
          </w14:textFill>
        </w:rPr>
        <w:t>，在“信用中国”网站（http://www.creditchina.gov.cn/）中被列入失信被执行人名单的投标人，不得参加投标。</w:t>
      </w:r>
    </w:p>
    <w:p w14:paraId="1E8CCBB4">
      <w:pPr>
        <w:pStyle w:val="16"/>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截止投标文件递交时间当</w:t>
      </w:r>
      <w:r>
        <w:rPr>
          <w:rFonts w:hint="eastAsia" w:ascii="宋体" w:hAnsi="宋体" w:cs="宋体"/>
          <w:color w:val="000000" w:themeColor="text1"/>
          <w:highlight w:val="none"/>
          <w:lang w:val="en-US" w:eastAsia="zh-CN"/>
          <w14:textFill>
            <w14:solidFill>
              <w14:schemeClr w14:val="tx1"/>
            </w14:solidFill>
          </w14:textFill>
        </w:rPr>
        <w:t>时</w:t>
      </w:r>
      <w:r>
        <w:rPr>
          <w:rFonts w:hint="eastAsia" w:ascii="宋体" w:hAnsi="宋体" w:eastAsia="宋体" w:cs="宋体"/>
          <w:color w:val="000000" w:themeColor="text1"/>
          <w:highlight w:val="none"/>
          <w14:textFill>
            <w14:solidFill>
              <w14:schemeClr w14:val="tx1"/>
            </w14:solidFill>
          </w14:textFill>
        </w:rPr>
        <w:t>，投标人未在国家企业信用信息公示系统（http：//www.gsxt.gov.cn/）中被列入严重违法失信企业名单。</w:t>
      </w:r>
    </w:p>
    <w:p w14:paraId="5F4252DD">
      <w:pPr>
        <w:pStyle w:val="16"/>
        <w:keepNext w:val="0"/>
        <w:keepLines w:val="0"/>
        <w:pageBreakBefore w:val="0"/>
        <w:widowControl w:val="0"/>
        <w:kinsoku/>
        <w:wordWrap/>
        <w:overflowPunct/>
        <w:topLinePunct w:val="0"/>
        <w:autoSpaceDE/>
        <w:autoSpaceDN/>
        <w:bidi w:val="0"/>
        <w:adjustRightInd w:val="0"/>
        <w:snapToGrid w:val="0"/>
        <w:spacing w:after="0"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截止递交投标文件当</w:t>
      </w:r>
      <w:r>
        <w:rPr>
          <w:rFonts w:hint="eastAsia" w:ascii="宋体" w:hAnsi="宋体" w:cs="宋体"/>
          <w:color w:val="000000" w:themeColor="text1"/>
          <w:highlight w:val="none"/>
          <w:lang w:val="en-US" w:eastAsia="zh-CN"/>
          <w14:textFill>
            <w14:solidFill>
              <w14:schemeClr w14:val="tx1"/>
            </w14:solidFill>
          </w14:textFill>
        </w:rPr>
        <w:t>时</w:t>
      </w:r>
      <w:r>
        <w:rPr>
          <w:rFonts w:hint="eastAsia" w:ascii="宋体" w:hAnsi="宋体" w:eastAsia="宋体" w:cs="宋体"/>
          <w:color w:val="000000" w:themeColor="text1"/>
          <w:highlight w:val="none"/>
          <w14:textFill>
            <w14:solidFill>
              <w14:schemeClr w14:val="tx1"/>
            </w14:solidFill>
          </w14:textFill>
        </w:rPr>
        <w:t>，投标人未被列入“信用交通江苏”网站公布的“失信联合惩戒对象名单”（黑名单）。</w:t>
      </w:r>
    </w:p>
    <w:p w14:paraId="1B65F6BE">
      <w:pPr>
        <w:keepNext w:val="0"/>
        <w:keepLines w:val="0"/>
        <w:pageBreakBefore w:val="0"/>
        <w:numPr>
          <w:ilvl w:val="0"/>
          <w:numId w:val="0"/>
        </w:numPr>
        <w:kinsoku/>
        <w:wordWrap/>
        <w:overflowPunct/>
        <w:autoSpaceDE/>
        <w:autoSpaceDN/>
        <w:bidi w:val="0"/>
        <w:adjustRightInd w:val="0"/>
        <w:snapToGrid w:val="0"/>
        <w:spacing w:line="360" w:lineRule="auto"/>
        <w:ind w:firstLine="422" w:firstLineChars="200"/>
        <w:textAlignment w:val="auto"/>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kern w:val="2"/>
          <w:sz w:val="21"/>
          <w:szCs w:val="24"/>
          <w:highlight w:val="none"/>
          <w:lang w:val="en-US" w:eastAsia="zh-CN" w:bidi="ar-SA"/>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本次招标不接受联合体投标。</w:t>
      </w:r>
    </w:p>
    <w:p w14:paraId="6E808DAD">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highlight w:val="none"/>
        </w:rPr>
        <w:t>3</w:t>
      </w:r>
      <w:r>
        <w:rPr>
          <w:rFonts w:hint="eastAsia" w:ascii="宋体" w:hAnsi="宋体" w:eastAsia="宋体" w:cs="宋体"/>
          <w:color w:val="000000" w:themeColor="text1"/>
          <w:highlight w:val="none"/>
          <w14:textFill>
            <w14:solidFill>
              <w14:schemeClr w14:val="tx1"/>
            </w14:solidFill>
          </w14:textFill>
        </w:rPr>
        <w:t>、</w:t>
      </w:r>
      <w:r>
        <w:rPr>
          <w:rFonts w:ascii="宋体" w:hAnsi="宋体"/>
          <w:szCs w:val="21"/>
          <w:highlight w:val="none"/>
        </w:rPr>
        <w:t>与招标人存在利害关系可能影响招标公正性的单位，不得参加投标。单位负责人为同一人或存在控股、管理关系的不同单位，不得参加同一标段投标，否则，相关投标均无效</w:t>
      </w:r>
      <w:r>
        <w:rPr>
          <w:rFonts w:hint="eastAsia" w:ascii="宋体" w:hAnsi="宋体" w:eastAsia="宋体" w:cs="宋体"/>
          <w:color w:val="000000" w:themeColor="text1"/>
          <w:highlight w:val="none"/>
          <w14:textFill>
            <w14:solidFill>
              <w14:schemeClr w14:val="tx1"/>
            </w14:solidFill>
          </w14:textFill>
        </w:rPr>
        <w:t>。</w:t>
      </w:r>
    </w:p>
    <w:p w14:paraId="63B87A95">
      <w:pPr>
        <w:keepNext w:val="0"/>
        <w:keepLines w:val="0"/>
        <w:pageBreakBefore w:val="0"/>
        <w:kinsoku/>
        <w:wordWrap/>
        <w:overflowPunct/>
        <w:autoSpaceDE/>
        <w:autoSpaceDN/>
        <w:bidi w:val="0"/>
        <w:adjustRightInd w:val="0"/>
        <w:snapToGrid w:val="0"/>
        <w:spacing w:line="360" w:lineRule="auto"/>
        <w:ind w:firstLine="482" w:firstLineChars="200"/>
        <w:textAlignment w:val="auto"/>
        <w:rPr>
          <w:rFonts w:hint="eastAsia" w:ascii="宋体" w:hAnsi="宋体" w:eastAsia="宋体" w:cs="宋体"/>
          <w:b/>
          <w:color w:val="000000" w:themeColor="text1"/>
          <w:sz w:val="24"/>
          <w:highlight w:val="non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四、评标办法</w:t>
      </w:r>
    </w:p>
    <w:p w14:paraId="5F9E8B4E">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本次招标项目采用综合评</w:t>
      </w:r>
      <w:r>
        <w:rPr>
          <w:rFonts w:hint="eastAsia" w:ascii="宋体" w:hAnsi="宋体" w:cs="宋体"/>
          <w:color w:val="000000" w:themeColor="text1"/>
          <w:szCs w:val="21"/>
          <w:highlight w:val="none"/>
          <w:lang w:val="en-US" w:eastAsia="zh-CN"/>
          <w14:textFill>
            <w14:solidFill>
              <w14:schemeClr w14:val="tx1"/>
            </w14:solidFill>
          </w14:textFill>
        </w:rPr>
        <w:t>估</w:t>
      </w:r>
      <w:r>
        <w:rPr>
          <w:rFonts w:hint="eastAsia" w:ascii="宋体" w:hAnsi="宋体" w:eastAsia="宋体" w:cs="宋体"/>
          <w:color w:val="000000" w:themeColor="text1"/>
          <w:szCs w:val="21"/>
          <w:highlight w:val="none"/>
          <w14:textFill>
            <w14:solidFill>
              <w14:schemeClr w14:val="tx1"/>
            </w14:solidFill>
          </w14:textFill>
        </w:rPr>
        <w:t>法。详见招标文件。</w:t>
      </w:r>
    </w:p>
    <w:p w14:paraId="640A83F8">
      <w:pPr>
        <w:keepNext w:val="0"/>
        <w:keepLines w:val="0"/>
        <w:pageBreakBefore w:val="0"/>
        <w:tabs>
          <w:tab w:val="left" w:pos="3240"/>
        </w:tabs>
        <w:kinsoku/>
        <w:wordWrap/>
        <w:overflowPunct/>
        <w:autoSpaceDE/>
        <w:autoSpaceDN/>
        <w:bidi w:val="0"/>
        <w:adjustRightInd w:val="0"/>
        <w:snapToGrid w:val="0"/>
        <w:spacing w:line="360" w:lineRule="auto"/>
        <w:ind w:firstLine="482" w:firstLineChars="200"/>
        <w:textAlignment w:val="auto"/>
        <w:rPr>
          <w:rFonts w:hint="eastAsia" w:ascii="宋体" w:hAnsi="宋体" w:eastAsia="宋体" w:cs="宋体"/>
          <w:b/>
          <w:color w:val="000000" w:themeColor="text1"/>
          <w:sz w:val="24"/>
          <w:highlight w:val="none"/>
          <w14:textFill>
            <w14:solidFill>
              <w14:schemeClr w14:val="tx1"/>
            </w14:solidFill>
          </w14:textFill>
        </w:rPr>
      </w:pPr>
      <w:bookmarkStart w:id="14" w:name="_Toc90105264"/>
      <w:bookmarkStart w:id="15" w:name="_Toc90105639"/>
      <w:bookmarkStart w:id="16" w:name="_Toc90106006"/>
      <w:bookmarkStart w:id="17" w:name="_Toc90104557"/>
      <w:bookmarkStart w:id="18" w:name="_Toc90106644"/>
      <w:bookmarkStart w:id="19" w:name="_Toc90105825"/>
      <w:bookmarkStart w:id="20" w:name="_Toc90106825"/>
      <w:bookmarkStart w:id="21" w:name="_Toc92015767"/>
      <w:bookmarkStart w:id="22" w:name="_Toc89848285"/>
      <w:bookmarkStart w:id="23" w:name="_Toc90105075"/>
      <w:bookmarkStart w:id="24" w:name="_Toc90105452"/>
      <w:bookmarkStart w:id="25" w:name="_Toc90106187"/>
      <w:r>
        <w:rPr>
          <w:rFonts w:hint="eastAsia" w:ascii="宋体" w:hAnsi="宋体" w:eastAsia="宋体" w:cs="宋体"/>
          <w:b/>
          <w:color w:val="000000" w:themeColor="text1"/>
          <w:sz w:val="24"/>
          <w:highlight w:val="none"/>
          <w14:textFill>
            <w14:solidFill>
              <w14:schemeClr w14:val="tx1"/>
            </w14:solidFill>
          </w14:textFill>
        </w:rPr>
        <w:t>五、招标文件的获取</w:t>
      </w:r>
    </w:p>
    <w:bookmarkEnd w:id="14"/>
    <w:bookmarkEnd w:id="15"/>
    <w:bookmarkEnd w:id="16"/>
    <w:bookmarkEnd w:id="17"/>
    <w:bookmarkEnd w:id="18"/>
    <w:bookmarkEnd w:id="19"/>
    <w:bookmarkEnd w:id="20"/>
    <w:bookmarkEnd w:id="21"/>
    <w:bookmarkEnd w:id="22"/>
    <w:bookmarkEnd w:id="23"/>
    <w:bookmarkEnd w:id="24"/>
    <w:bookmarkEnd w:id="25"/>
    <w:p w14:paraId="6A24C4FF">
      <w:pPr>
        <w:pStyle w:val="15"/>
        <w:keepNext w:val="0"/>
        <w:keepLines w:val="0"/>
        <w:pageBreakBefore w:val="0"/>
        <w:kinsoku/>
        <w:wordWrap/>
        <w:overflowPunct/>
        <w:topLine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sz w:val="21"/>
          <w:szCs w:val="24"/>
          <w:highlight w:val="none"/>
          <w14:textFill>
            <w14:solidFill>
              <w14:schemeClr w14:val="tx1"/>
            </w14:solidFill>
          </w14:textFill>
        </w:rPr>
      </w:pPr>
      <w:bookmarkStart w:id="26" w:name="_Toc90106645"/>
      <w:bookmarkStart w:id="27" w:name="_Toc90106188"/>
      <w:bookmarkStart w:id="28" w:name="_Toc89848286"/>
      <w:bookmarkStart w:id="29" w:name="_Toc90105640"/>
      <w:bookmarkStart w:id="30" w:name="_Toc90105265"/>
      <w:bookmarkStart w:id="31" w:name="_Toc92015768"/>
      <w:bookmarkStart w:id="32" w:name="_Toc90104558"/>
      <w:bookmarkStart w:id="33" w:name="_Toc90105453"/>
      <w:bookmarkStart w:id="34" w:name="_Toc90105826"/>
      <w:bookmarkStart w:id="35" w:name="_Toc90106826"/>
      <w:bookmarkStart w:id="36" w:name="_Toc90105076"/>
      <w:bookmarkStart w:id="37" w:name="_Toc90106007"/>
      <w:r>
        <w:rPr>
          <w:rFonts w:hint="eastAsia" w:ascii="宋体" w:hAnsi="宋体" w:eastAsia="宋体" w:cs="宋体"/>
          <w:color w:val="000000" w:themeColor="text1"/>
          <w:sz w:val="21"/>
          <w:szCs w:val="24"/>
          <w:highlight w:val="none"/>
          <w14:textFill>
            <w14:solidFill>
              <w14:schemeClr w14:val="tx1"/>
            </w14:solidFill>
          </w14:textFill>
        </w:rPr>
        <w:t>1、申请</w:t>
      </w:r>
    </w:p>
    <w:p w14:paraId="715A891C">
      <w:pPr>
        <w:pStyle w:val="15"/>
        <w:keepNext w:val="0"/>
        <w:keepLines w:val="0"/>
        <w:pageBreakBefore w:val="0"/>
        <w:kinsoku/>
        <w:wordWrap/>
        <w:overflowPunct/>
        <w:topLine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sz w:val="21"/>
          <w:szCs w:val="24"/>
          <w:highlight w:val="none"/>
          <w14:textFill>
            <w14:solidFill>
              <w14:schemeClr w14:val="tx1"/>
            </w14:solidFill>
          </w14:textFill>
        </w:rPr>
      </w:pPr>
      <w:r>
        <w:rPr>
          <w:rFonts w:hint="eastAsia" w:ascii="宋体" w:hAnsi="宋体" w:eastAsia="宋体" w:cs="宋体"/>
          <w:color w:val="000000" w:themeColor="text1"/>
          <w:sz w:val="21"/>
          <w:szCs w:val="24"/>
          <w:highlight w:val="none"/>
          <w14:textFill>
            <w14:solidFill>
              <w14:schemeClr w14:val="tx1"/>
            </w14:solidFill>
          </w14:textFill>
        </w:rPr>
        <w:t>申请时间：自招标公告上网发布之日起至202</w:t>
      </w:r>
      <w:r>
        <w:rPr>
          <w:rFonts w:hint="eastAsia" w:ascii="宋体" w:hAnsi="宋体" w:eastAsia="宋体" w:cs="宋体"/>
          <w:color w:val="000000" w:themeColor="text1"/>
          <w:sz w:val="21"/>
          <w:szCs w:val="24"/>
          <w:highlight w:val="none"/>
          <w:lang w:val="en-US" w:eastAsia="zh-CN"/>
          <w14:textFill>
            <w14:solidFill>
              <w14:schemeClr w14:val="tx1"/>
            </w14:solidFill>
          </w14:textFill>
        </w:rPr>
        <w:t>5</w:t>
      </w:r>
      <w:r>
        <w:rPr>
          <w:rFonts w:hint="eastAsia" w:ascii="宋体" w:hAnsi="宋体" w:eastAsia="宋体" w:cs="宋体"/>
          <w:color w:val="000000" w:themeColor="text1"/>
          <w:sz w:val="21"/>
          <w:szCs w:val="24"/>
          <w:highlight w:val="none"/>
          <w14:textFill>
            <w14:solidFill>
              <w14:schemeClr w14:val="tx1"/>
            </w14:solidFill>
          </w14:textFill>
        </w:rPr>
        <w:t>年</w:t>
      </w:r>
      <w:r>
        <w:rPr>
          <w:rFonts w:hint="eastAsia" w:hAnsi="宋体" w:cs="宋体"/>
          <w:color w:val="000000" w:themeColor="text1"/>
          <w:sz w:val="21"/>
          <w:szCs w:val="24"/>
          <w:highlight w:val="none"/>
          <w:lang w:val="en-US" w:eastAsia="zh-CN"/>
          <w14:textFill>
            <w14:solidFill>
              <w14:schemeClr w14:val="tx1"/>
            </w14:solidFill>
          </w14:textFill>
        </w:rPr>
        <w:t>4</w:t>
      </w:r>
      <w:r>
        <w:rPr>
          <w:rFonts w:hint="eastAsia" w:ascii="宋体" w:hAnsi="宋体" w:eastAsia="宋体" w:cs="宋体"/>
          <w:color w:val="000000" w:themeColor="text1"/>
          <w:sz w:val="21"/>
          <w:szCs w:val="24"/>
          <w:highlight w:val="none"/>
          <w14:textFill>
            <w14:solidFill>
              <w14:schemeClr w14:val="tx1"/>
            </w14:solidFill>
          </w14:textFill>
        </w:rPr>
        <w:t>月</w:t>
      </w:r>
      <w:r>
        <w:rPr>
          <w:rFonts w:hint="eastAsia" w:hAnsi="宋体" w:cs="宋体"/>
          <w:color w:val="000000" w:themeColor="text1"/>
          <w:sz w:val="21"/>
          <w:szCs w:val="24"/>
          <w:highlight w:val="none"/>
          <w:lang w:val="en-US" w:eastAsia="zh-CN"/>
          <w14:textFill>
            <w14:solidFill>
              <w14:schemeClr w14:val="tx1"/>
            </w14:solidFill>
          </w14:textFill>
        </w:rPr>
        <w:t>8</w:t>
      </w:r>
      <w:r>
        <w:rPr>
          <w:rFonts w:hint="eastAsia" w:ascii="宋体" w:hAnsi="宋体" w:eastAsia="宋体" w:cs="宋体"/>
          <w:color w:val="000000" w:themeColor="text1"/>
          <w:sz w:val="21"/>
          <w:szCs w:val="24"/>
          <w:highlight w:val="none"/>
          <w14:textFill>
            <w14:solidFill>
              <w14:schemeClr w14:val="tx1"/>
            </w14:solidFill>
          </w14:textFill>
        </w:rPr>
        <w:t>日下午17：30，每日工作时间：上午9:00—11:00整，下午13:30—17:30整。</w:t>
      </w:r>
    </w:p>
    <w:p w14:paraId="6C5B7A84">
      <w:pPr>
        <w:pStyle w:val="15"/>
        <w:keepNext w:val="0"/>
        <w:keepLines w:val="0"/>
        <w:pageBreakBefore w:val="0"/>
        <w:kinsoku/>
        <w:wordWrap/>
        <w:overflowPunct/>
        <w:topLine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sz w:val="21"/>
          <w:szCs w:val="24"/>
          <w:highlight w:val="none"/>
          <w14:textFill>
            <w14:solidFill>
              <w14:schemeClr w14:val="tx1"/>
            </w14:solidFill>
          </w14:textFill>
        </w:rPr>
      </w:pPr>
      <w:r>
        <w:rPr>
          <w:rFonts w:hint="eastAsia" w:ascii="宋体" w:hAnsi="宋体" w:eastAsia="宋体" w:cs="宋体"/>
          <w:color w:val="000000" w:themeColor="text1"/>
          <w:sz w:val="21"/>
          <w:szCs w:val="24"/>
          <w:highlight w:val="none"/>
          <w14:textFill>
            <w14:solidFill>
              <w14:schemeClr w14:val="tx1"/>
            </w14:solidFill>
          </w14:textFill>
        </w:rPr>
        <w:t>申请方式：凡符合资格要求并有意愿参加本项目的投标人，请如实填写《申请函》（格式见本项目公告附件）并加盖公章，发彩色扫描件至邮箱（jsrzcnt@126.com）中，并致电招标代理确认邮件送达，确认申请是否成功，并在开标现场将申请函原件同响应文件一并递交。</w:t>
      </w:r>
    </w:p>
    <w:p w14:paraId="177577C8">
      <w:pPr>
        <w:pStyle w:val="15"/>
        <w:keepNext w:val="0"/>
        <w:keepLines w:val="0"/>
        <w:pageBreakBefore w:val="0"/>
        <w:kinsoku/>
        <w:wordWrap/>
        <w:overflowPunct/>
        <w:topLine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sz w:val="21"/>
          <w:szCs w:val="24"/>
          <w:highlight w:val="none"/>
          <w14:textFill>
            <w14:solidFill>
              <w14:schemeClr w14:val="tx1"/>
            </w14:solidFill>
          </w14:textFill>
        </w:rPr>
      </w:pPr>
      <w:r>
        <w:rPr>
          <w:rFonts w:hint="eastAsia" w:ascii="宋体" w:hAnsi="宋体" w:eastAsia="宋体" w:cs="宋体"/>
          <w:color w:val="000000" w:themeColor="text1"/>
          <w:sz w:val="21"/>
          <w:szCs w:val="24"/>
          <w:highlight w:val="none"/>
          <w14:textFill>
            <w14:solidFill>
              <w14:schemeClr w14:val="tx1"/>
            </w14:solidFill>
          </w14:textFill>
        </w:rPr>
        <w:t>招标代理联系人：</w:t>
      </w:r>
      <w:r>
        <w:rPr>
          <w:rFonts w:hint="eastAsia" w:hAnsi="宋体" w:cs="宋体"/>
          <w:color w:val="000000" w:themeColor="text1"/>
          <w:sz w:val="21"/>
          <w:szCs w:val="24"/>
          <w:highlight w:val="none"/>
          <w:lang w:val="en-US" w:eastAsia="zh-CN"/>
          <w14:textFill>
            <w14:solidFill>
              <w14:schemeClr w14:val="tx1"/>
            </w14:solidFill>
          </w14:textFill>
        </w:rPr>
        <w:t>周天豪</w:t>
      </w:r>
      <w:r>
        <w:rPr>
          <w:rFonts w:hint="eastAsia" w:ascii="宋体" w:hAnsi="宋体" w:eastAsia="宋体" w:cs="宋体"/>
          <w:color w:val="000000" w:themeColor="text1"/>
          <w:sz w:val="21"/>
          <w:szCs w:val="24"/>
          <w:highlight w:val="none"/>
          <w14:textFill>
            <w14:solidFill>
              <w14:schemeClr w14:val="tx1"/>
            </w14:solidFill>
          </w14:textFill>
        </w:rPr>
        <w:t>，联系电话：</w:t>
      </w:r>
      <w:r>
        <w:rPr>
          <w:rFonts w:hint="eastAsia" w:hAnsi="宋体" w:cs="宋体"/>
          <w:color w:val="000000" w:themeColor="text1"/>
          <w:sz w:val="21"/>
          <w:szCs w:val="24"/>
          <w:highlight w:val="none"/>
          <w:lang w:val="en-US" w:eastAsia="zh-CN"/>
          <w14:textFill>
            <w14:solidFill>
              <w14:schemeClr w14:val="tx1"/>
            </w14:solidFill>
          </w14:textFill>
        </w:rPr>
        <w:t>13814662273</w:t>
      </w:r>
      <w:r>
        <w:rPr>
          <w:rFonts w:hint="eastAsia" w:ascii="宋体" w:hAnsi="宋体" w:eastAsia="宋体" w:cs="宋体"/>
          <w:color w:val="000000" w:themeColor="text1"/>
          <w:sz w:val="21"/>
          <w:szCs w:val="24"/>
          <w:highlight w:val="none"/>
          <w14:textFill>
            <w14:solidFill>
              <w14:schemeClr w14:val="tx1"/>
            </w14:solidFill>
          </w14:textFill>
        </w:rPr>
        <w:t>。</w:t>
      </w:r>
    </w:p>
    <w:p w14:paraId="363C8A2B">
      <w:pPr>
        <w:pStyle w:val="15"/>
        <w:keepNext w:val="0"/>
        <w:keepLines w:val="0"/>
        <w:pageBreakBefore w:val="0"/>
        <w:kinsoku/>
        <w:wordWrap/>
        <w:overflowPunct/>
        <w:topLine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sz w:val="21"/>
          <w:szCs w:val="24"/>
          <w:highlight w:val="none"/>
          <w14:textFill>
            <w14:solidFill>
              <w14:schemeClr w14:val="tx1"/>
            </w14:solidFill>
          </w14:textFill>
        </w:rPr>
      </w:pPr>
      <w:r>
        <w:rPr>
          <w:rFonts w:hint="eastAsia" w:ascii="宋体" w:hAnsi="宋体" w:eastAsia="宋体" w:cs="宋体"/>
          <w:color w:val="000000" w:themeColor="text1"/>
          <w:sz w:val="21"/>
          <w:szCs w:val="24"/>
          <w:highlight w:val="none"/>
          <w14:textFill>
            <w14:solidFill>
              <w14:schemeClr w14:val="tx1"/>
            </w14:solidFill>
          </w14:textFill>
        </w:rPr>
        <w:t>2、获取招标文件</w:t>
      </w:r>
    </w:p>
    <w:p w14:paraId="35DC6F12">
      <w:pPr>
        <w:pStyle w:val="15"/>
        <w:keepNext w:val="0"/>
        <w:keepLines w:val="0"/>
        <w:pageBreakBefore w:val="0"/>
        <w:kinsoku/>
        <w:wordWrap/>
        <w:overflowPunct/>
        <w:topLine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sz w:val="21"/>
          <w:szCs w:val="24"/>
          <w:highlight w:val="none"/>
          <w14:textFill>
            <w14:solidFill>
              <w14:schemeClr w14:val="tx1"/>
            </w14:solidFill>
          </w14:textFill>
        </w:rPr>
      </w:pPr>
      <w:r>
        <w:rPr>
          <w:rFonts w:hint="eastAsia" w:ascii="宋体" w:hAnsi="宋体" w:eastAsia="宋体" w:cs="宋体"/>
          <w:color w:val="000000" w:themeColor="text1"/>
          <w:sz w:val="21"/>
          <w:szCs w:val="24"/>
          <w:highlight w:val="none"/>
          <w14:textFill>
            <w14:solidFill>
              <w14:schemeClr w14:val="tx1"/>
            </w14:solidFill>
          </w14:textFill>
        </w:rPr>
        <w:t>各申请人到招标代理单位自行领取纸质招标文件或由招标代理单位邮寄纸质文件给各申请人。</w:t>
      </w:r>
    </w:p>
    <w:p w14:paraId="4B2566D2">
      <w:pPr>
        <w:pStyle w:val="15"/>
        <w:keepNext w:val="0"/>
        <w:keepLines w:val="0"/>
        <w:pageBreakBefore w:val="0"/>
        <w:kinsoku/>
        <w:wordWrap/>
        <w:overflowPunct/>
        <w:topLine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sz w:val="21"/>
          <w:szCs w:val="24"/>
          <w:highlight w:val="none"/>
          <w14:textFill>
            <w14:solidFill>
              <w14:schemeClr w14:val="tx1"/>
            </w14:solidFill>
          </w14:textFill>
        </w:rPr>
      </w:pPr>
      <w:r>
        <w:rPr>
          <w:rFonts w:hint="eastAsia" w:ascii="宋体" w:hAnsi="宋体" w:eastAsia="宋体" w:cs="宋体"/>
          <w:color w:val="000000" w:themeColor="text1"/>
          <w:sz w:val="21"/>
          <w:szCs w:val="24"/>
          <w:highlight w:val="none"/>
          <w14:textFill>
            <w14:solidFill>
              <w14:schemeClr w14:val="tx1"/>
            </w14:solidFill>
          </w14:textFill>
        </w:rPr>
        <w:t>招标文件售价300元/投标人，请在提交《申请函》的同时缴纳给招标代理，无论何种情况不予退还。</w:t>
      </w:r>
    </w:p>
    <w:p w14:paraId="288F3A25">
      <w:pPr>
        <w:pStyle w:val="15"/>
        <w:keepNext w:val="0"/>
        <w:keepLines w:val="0"/>
        <w:pageBreakBefore w:val="0"/>
        <w:numPr>
          <w:ilvl w:val="255"/>
          <w:numId w:val="0"/>
        </w:numPr>
        <w:kinsoku/>
        <w:wordWrap/>
        <w:overflowPunct/>
        <w:topLine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sz w:val="21"/>
          <w:szCs w:val="24"/>
          <w:highlight w:val="none"/>
          <w14:textFill>
            <w14:solidFill>
              <w14:schemeClr w14:val="tx1"/>
            </w14:solidFill>
          </w14:textFill>
        </w:rPr>
      </w:pPr>
      <w:r>
        <w:rPr>
          <w:rFonts w:hint="eastAsia" w:ascii="宋体" w:hAnsi="宋体" w:eastAsia="宋体" w:cs="宋体"/>
          <w:color w:val="000000" w:themeColor="text1"/>
          <w:sz w:val="21"/>
          <w:szCs w:val="24"/>
          <w:highlight w:val="none"/>
          <w14:textFill>
            <w14:solidFill>
              <w14:schemeClr w14:val="tx1"/>
            </w14:solidFill>
          </w14:textFill>
        </w:rPr>
        <w:t>3、已获取招标文件的投标人，不得擅自放弃，若因故确需放弃，则须在递交投标文件截止之日3天前书面告知招标人或招标代理，如无故不参加投标而造成参加投标的投标人不足3家而重新招标的，若重新招标的招标范围、规模和资格要求等未发生改变，招标人可以拒绝其参加重新招标的投标。</w:t>
      </w:r>
    </w:p>
    <w:p w14:paraId="0545641D">
      <w:pPr>
        <w:pStyle w:val="15"/>
        <w:keepNext w:val="0"/>
        <w:keepLines w:val="0"/>
        <w:pageBreakBefore w:val="0"/>
        <w:kinsoku/>
        <w:wordWrap/>
        <w:overflowPunct/>
        <w:topLinePunct/>
        <w:autoSpaceDE/>
        <w:autoSpaceDN/>
        <w:bidi w:val="0"/>
        <w:adjustRightInd w:val="0"/>
        <w:snapToGrid w:val="0"/>
        <w:spacing w:line="360" w:lineRule="auto"/>
        <w:ind w:firstLine="482" w:firstLineChars="200"/>
        <w:textAlignment w:val="auto"/>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六、投标文件的递交</w:t>
      </w:r>
      <w:bookmarkEnd w:id="26"/>
      <w:bookmarkEnd w:id="27"/>
      <w:bookmarkEnd w:id="28"/>
      <w:bookmarkEnd w:id="29"/>
      <w:bookmarkEnd w:id="30"/>
      <w:bookmarkEnd w:id="31"/>
      <w:bookmarkEnd w:id="32"/>
      <w:bookmarkEnd w:id="33"/>
      <w:bookmarkEnd w:id="34"/>
      <w:bookmarkEnd w:id="35"/>
      <w:bookmarkEnd w:id="36"/>
      <w:bookmarkEnd w:id="37"/>
      <w:r>
        <w:rPr>
          <w:rFonts w:hint="eastAsia" w:ascii="宋体" w:hAnsi="宋体" w:eastAsia="宋体" w:cs="宋体"/>
          <w:b/>
          <w:bCs/>
          <w:color w:val="000000" w:themeColor="text1"/>
          <w:highlight w:val="none"/>
          <w14:textFill>
            <w14:solidFill>
              <w14:schemeClr w14:val="tx1"/>
            </w14:solidFill>
          </w14:textFill>
        </w:rPr>
        <w:t>及相关事宜</w:t>
      </w:r>
    </w:p>
    <w:p w14:paraId="357484F4">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1、递交投标文件的截止时间（投标截止时间，下同）为202</w:t>
      </w:r>
      <w:r>
        <w:rPr>
          <w:rFonts w:hint="eastAsia" w:ascii="宋体" w:hAnsi="宋体" w:eastAsia="宋体" w:cs="宋体"/>
          <w:color w:val="000000" w:themeColor="text1"/>
          <w:highlight w:val="none"/>
          <w:lang w:val="en-US" w:eastAsia="zh-CN"/>
          <w14:textFill>
            <w14:solidFill>
              <w14:schemeClr w14:val="tx1"/>
            </w14:solidFill>
          </w14:textFill>
        </w:rPr>
        <w:t>5</w:t>
      </w:r>
      <w:r>
        <w:rPr>
          <w:rFonts w:hint="eastAsia" w:ascii="宋体" w:hAnsi="宋体" w:eastAsia="宋体" w:cs="宋体"/>
          <w:color w:val="000000" w:themeColor="text1"/>
          <w:highlight w:val="none"/>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9</w:t>
      </w:r>
      <w:r>
        <w:rPr>
          <w:rFonts w:hint="eastAsia" w:ascii="宋体" w:hAnsi="宋体" w:eastAsia="宋体" w:cs="宋体"/>
          <w:color w:val="000000" w:themeColor="text1"/>
          <w:highlight w:val="none"/>
          <w14:textFill>
            <w14:solidFill>
              <w14:schemeClr w14:val="tx1"/>
            </w14:solidFill>
          </w14:textFill>
        </w:rPr>
        <w:t>日9时00分，投标人应于当日9时00分前将投标文件递交至南通市公路事业发展中心1楼信访接待室</w:t>
      </w:r>
      <w:r>
        <w:rPr>
          <w:rFonts w:hint="eastAsia" w:ascii="宋体" w:hAnsi="宋体" w:eastAsia="宋体" w:cs="宋体"/>
          <w:b/>
          <w:bCs/>
          <w:color w:val="000000" w:themeColor="text1"/>
          <w:szCs w:val="21"/>
          <w:highlight w:val="none"/>
          <w:u w:val="single"/>
          <w14:textFill>
            <w14:solidFill>
              <w14:schemeClr w14:val="tx1"/>
            </w14:solidFill>
          </w14:textFill>
        </w:rPr>
        <w:t>（地址：南通市跃龙路4号），如有变动另行通知。逾期送达的或者未送达指定地点的投标文件，招标人不予受理。</w:t>
      </w:r>
      <w:r>
        <w:rPr>
          <w:rFonts w:hint="eastAsia" w:ascii="宋体" w:hAnsi="宋体" w:eastAsia="宋体" w:cs="宋体"/>
          <w:b/>
          <w:bCs/>
          <w:color w:val="000000" w:themeColor="text1"/>
          <w:highlight w:val="none"/>
          <w:u w:val="single"/>
          <w14:textFill>
            <w14:solidFill>
              <w14:schemeClr w14:val="tx1"/>
            </w14:solidFill>
          </w14:textFill>
        </w:rPr>
        <w:t>请投标人注意提前熟悉会场，避免迟到。</w:t>
      </w:r>
    </w:p>
    <w:p w14:paraId="29068B8B">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2、定于本项目投标截止同一时间在上述投标地点公开开标，</w:t>
      </w:r>
      <w:r>
        <w:rPr>
          <w:rFonts w:hint="eastAsia" w:ascii="宋体" w:hAnsi="宋体" w:eastAsia="宋体" w:cs="宋体"/>
          <w:b/>
          <w:color w:val="000000" w:themeColor="text1"/>
          <w:highlight w:val="none"/>
          <w:u w:val="single"/>
          <w14:textFill>
            <w14:solidFill>
              <w14:schemeClr w14:val="tx1"/>
            </w14:solidFill>
          </w14:textFill>
        </w:rPr>
        <w:t>投标人应派法人代表或其授权代理人携带有效身份证明出席</w:t>
      </w:r>
      <w:r>
        <w:rPr>
          <w:rFonts w:hint="eastAsia" w:ascii="宋体" w:hAnsi="宋体" w:eastAsia="宋体" w:cs="宋体"/>
          <w:color w:val="000000" w:themeColor="text1"/>
          <w:highlight w:val="none"/>
          <w14:textFill>
            <w14:solidFill>
              <w14:schemeClr w14:val="tx1"/>
            </w14:solidFill>
          </w14:textFill>
        </w:rPr>
        <w:t>。若未前来出席开标会，则视为默认开标结果。</w:t>
      </w:r>
    </w:p>
    <w:p w14:paraId="7E7F0C80">
      <w:pPr>
        <w:pStyle w:val="15"/>
        <w:keepNext w:val="0"/>
        <w:keepLines w:val="0"/>
        <w:pageBreakBefore w:val="0"/>
        <w:kinsoku/>
        <w:wordWrap/>
        <w:overflowPunct/>
        <w:topLinePunct/>
        <w:autoSpaceDE/>
        <w:autoSpaceDN/>
        <w:bidi w:val="0"/>
        <w:adjustRightInd w:val="0"/>
        <w:snapToGrid w:val="0"/>
        <w:spacing w:line="360" w:lineRule="auto"/>
        <w:textAlignment w:val="auto"/>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七、发布公告的媒介</w:t>
      </w:r>
    </w:p>
    <w:p w14:paraId="0AB9E35C">
      <w:pPr>
        <w:pStyle w:val="15"/>
        <w:keepNext w:val="0"/>
        <w:keepLines w:val="0"/>
        <w:pageBreakBefore w:val="0"/>
        <w:kinsoku/>
        <w:wordWrap/>
        <w:overflowPunct/>
        <w:topLine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sz w:val="21"/>
          <w:szCs w:val="24"/>
          <w:highlight w:val="none"/>
          <w14:textFill>
            <w14:solidFill>
              <w14:schemeClr w14:val="tx1"/>
            </w14:solidFill>
          </w14:textFill>
        </w:rPr>
      </w:pPr>
      <w:r>
        <w:rPr>
          <w:rFonts w:hint="eastAsia" w:ascii="宋体" w:hAnsi="宋体" w:eastAsia="宋体" w:cs="宋体"/>
          <w:color w:val="000000" w:themeColor="text1"/>
          <w:sz w:val="21"/>
          <w:szCs w:val="24"/>
          <w:highlight w:val="none"/>
          <w14:textFill>
            <w14:solidFill>
              <w14:schemeClr w14:val="tx1"/>
            </w14:solidFill>
          </w14:textFill>
        </w:rPr>
        <w:t>本次招标公告在南通市交通运输局网站（http://jtysj.nantong.gov.cn）上发布。南通市交通运输局网站是本项目招标公告、招标文件澄清、补遗书、中标候选人公示、中标公告等招标信息约定的唯一公开发布媒介。</w:t>
      </w:r>
    </w:p>
    <w:p w14:paraId="66C97CC1">
      <w:pPr>
        <w:keepNext w:val="0"/>
        <w:keepLines w:val="0"/>
        <w:pageBreakBefore w:val="0"/>
        <w:kinsoku/>
        <w:wordWrap/>
        <w:overflowPunct/>
        <w:topLinePunct/>
        <w:autoSpaceDE/>
        <w:autoSpaceDN/>
        <w:bidi w:val="0"/>
        <w:adjustRightInd w:val="0"/>
        <w:snapToGrid w:val="0"/>
        <w:spacing w:line="360" w:lineRule="auto"/>
        <w:textAlignment w:val="auto"/>
        <w:rPr>
          <w:rFonts w:hint="eastAsia" w:ascii="宋体" w:hAnsi="宋体" w:eastAsia="宋体" w:cs="宋体"/>
          <w:b/>
          <w:bCs/>
          <w:color w:val="000000" w:themeColor="text1"/>
          <w:sz w:val="24"/>
          <w:highlight w:val="none"/>
          <w14:textFill>
            <w14:solidFill>
              <w14:schemeClr w14:val="tx1"/>
            </w14:solidFill>
          </w14:textFill>
        </w:rPr>
      </w:pPr>
      <w:bookmarkStart w:id="38" w:name="_Toc90106646"/>
      <w:bookmarkStart w:id="39" w:name="_Toc92015769"/>
      <w:bookmarkStart w:id="40" w:name="_Toc90105641"/>
      <w:bookmarkStart w:id="41" w:name="_Toc90104559"/>
      <w:bookmarkStart w:id="42" w:name="_Toc90105077"/>
      <w:bookmarkStart w:id="43" w:name="_Toc90105827"/>
      <w:bookmarkStart w:id="44" w:name="_Toc90106008"/>
      <w:bookmarkStart w:id="45" w:name="_Toc90106827"/>
      <w:bookmarkStart w:id="46" w:name="_Toc90105266"/>
      <w:bookmarkStart w:id="47" w:name="_Toc90106189"/>
      <w:bookmarkStart w:id="48" w:name="_Toc90105454"/>
      <w:bookmarkStart w:id="49" w:name="_Toc89848287"/>
      <w:r>
        <w:rPr>
          <w:rFonts w:hint="eastAsia" w:ascii="宋体" w:hAnsi="宋体" w:eastAsia="宋体" w:cs="宋体"/>
          <w:b/>
          <w:bCs/>
          <w:color w:val="000000" w:themeColor="text1"/>
          <w:sz w:val="24"/>
          <w:highlight w:val="none"/>
          <w14:textFill>
            <w14:solidFill>
              <w14:schemeClr w14:val="tx1"/>
            </w14:solidFill>
          </w14:textFill>
        </w:rPr>
        <w:t>八、联系方式</w:t>
      </w:r>
      <w:bookmarkEnd w:id="38"/>
      <w:bookmarkEnd w:id="39"/>
      <w:bookmarkEnd w:id="40"/>
      <w:bookmarkEnd w:id="41"/>
      <w:bookmarkEnd w:id="42"/>
      <w:bookmarkEnd w:id="43"/>
      <w:bookmarkEnd w:id="44"/>
      <w:bookmarkEnd w:id="45"/>
      <w:bookmarkEnd w:id="46"/>
      <w:bookmarkEnd w:id="47"/>
      <w:bookmarkEnd w:id="48"/>
      <w:bookmarkEnd w:id="49"/>
    </w:p>
    <w:p w14:paraId="14225407">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招 标 人：南通市公路事业发展中心</w:t>
      </w:r>
    </w:p>
    <w:p w14:paraId="397A8B5D">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地    址：江苏省南通市跃龙路4号</w:t>
      </w:r>
    </w:p>
    <w:p w14:paraId="60AED5C3">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邮    编：226001</w:t>
      </w:r>
    </w:p>
    <w:p w14:paraId="0064B8A0">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 系 人：荣慧</w:t>
      </w:r>
    </w:p>
    <w:p w14:paraId="125A8362">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电    话：0513-85524439</w:t>
      </w:r>
    </w:p>
    <w:p w14:paraId="152064EA">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招标代理：江苏睿致诚工程咨询有限公司</w:t>
      </w:r>
    </w:p>
    <w:p w14:paraId="1120CD5C">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地址：南京市江宁区江南路697号金轮星际中心A1栋7楼</w:t>
      </w:r>
    </w:p>
    <w:p w14:paraId="075AD521">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电话：13814662273（周天豪）</w:t>
      </w:r>
      <w:r>
        <w:rPr>
          <w:rFonts w:hint="eastAsia" w:ascii="宋体" w:hAnsi="宋体" w:eastAsia="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14:textFill>
            <w14:solidFill>
              <w14:schemeClr w14:val="tx1"/>
            </w14:solidFill>
          </w14:textFill>
        </w:rPr>
        <w:t>18932207883（陈小龙）</w:t>
      </w:r>
    </w:p>
    <w:p w14:paraId="2213E7B1">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联系人：周天豪</w:t>
      </w:r>
      <w:r>
        <w:rPr>
          <w:rFonts w:hint="eastAsia" w:ascii="宋体" w:hAnsi="宋体" w:eastAsia="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14:textFill>
            <w14:solidFill>
              <w14:schemeClr w14:val="tx1"/>
            </w14:solidFill>
          </w14:textFill>
        </w:rPr>
        <w:t>陈小龙</w:t>
      </w:r>
    </w:p>
    <w:p w14:paraId="48F982A7">
      <w:pPr>
        <w:keepNext w:val="0"/>
        <w:keepLines w:val="0"/>
        <w:pageBreakBefore w:val="0"/>
        <w:kinsoku/>
        <w:wordWrap/>
        <w:overflowPunct/>
        <w:autoSpaceDE/>
        <w:autoSpaceDN/>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Email：</w:t>
      </w:r>
      <w:r>
        <w:rPr>
          <w:rStyle w:val="49"/>
          <w:rFonts w:hint="eastAsia" w:ascii="宋体" w:hAnsi="宋体" w:eastAsia="宋体" w:cs="宋体"/>
          <w:highlight w:val="none"/>
        </w:rPr>
        <w:t>jsrzcnt@126.com</w:t>
      </w:r>
    </w:p>
    <w:p w14:paraId="3BA19446">
      <w:pPr>
        <w:pStyle w:val="15"/>
        <w:spacing w:line="360" w:lineRule="auto"/>
        <w:jc w:val="right"/>
        <w:rPr>
          <w:rFonts w:hint="eastAsia" w:ascii="宋体" w:hAnsi="宋体" w:eastAsia="宋体" w:cs="宋体"/>
          <w:color w:val="000000" w:themeColor="text1"/>
          <w:sz w:val="21"/>
          <w:szCs w:val="24"/>
          <w:highlight w:val="none"/>
          <w14:textFill>
            <w14:solidFill>
              <w14:schemeClr w14:val="tx1"/>
            </w14:solidFill>
          </w14:textFill>
        </w:rPr>
      </w:pPr>
      <w:r>
        <w:rPr>
          <w:rFonts w:hint="eastAsia" w:ascii="宋体" w:hAnsi="宋体" w:eastAsia="宋体" w:cs="宋体"/>
          <w:color w:val="000000" w:themeColor="text1"/>
          <w:sz w:val="21"/>
          <w:szCs w:val="24"/>
          <w:highlight w:val="none"/>
          <w14:textFill>
            <w14:solidFill>
              <w14:schemeClr w14:val="tx1"/>
            </w14:solidFill>
          </w14:textFill>
        </w:rPr>
        <w:t>202</w:t>
      </w:r>
      <w:r>
        <w:rPr>
          <w:rFonts w:hint="eastAsia" w:ascii="宋体" w:hAnsi="宋体" w:eastAsia="宋体" w:cs="宋体"/>
          <w:color w:val="000000" w:themeColor="text1"/>
          <w:sz w:val="21"/>
          <w:szCs w:val="24"/>
          <w:highlight w:val="none"/>
          <w:lang w:val="en-US" w:eastAsia="zh-CN"/>
          <w14:textFill>
            <w14:solidFill>
              <w14:schemeClr w14:val="tx1"/>
            </w14:solidFill>
          </w14:textFill>
        </w:rPr>
        <w:t>5</w:t>
      </w:r>
      <w:r>
        <w:rPr>
          <w:rFonts w:hint="eastAsia" w:ascii="宋体" w:hAnsi="宋体" w:eastAsia="宋体" w:cs="宋体"/>
          <w:color w:val="000000" w:themeColor="text1"/>
          <w:sz w:val="21"/>
          <w:szCs w:val="24"/>
          <w:highlight w:val="none"/>
          <w14:textFill>
            <w14:solidFill>
              <w14:schemeClr w14:val="tx1"/>
            </w14:solidFill>
          </w14:textFill>
        </w:rPr>
        <w:t>年</w:t>
      </w:r>
      <w:r>
        <w:rPr>
          <w:rFonts w:hint="eastAsia" w:ascii="宋体" w:hAnsi="宋体" w:eastAsia="宋体" w:cs="宋体"/>
          <w:color w:val="000000" w:themeColor="text1"/>
          <w:sz w:val="21"/>
          <w:szCs w:val="24"/>
          <w:highlight w:val="none"/>
          <w:lang w:val="en-US" w:eastAsia="zh-CN"/>
          <w14:textFill>
            <w14:solidFill>
              <w14:schemeClr w14:val="tx1"/>
            </w14:solidFill>
          </w14:textFill>
        </w:rPr>
        <w:t>3</w:t>
      </w:r>
      <w:r>
        <w:rPr>
          <w:rFonts w:hint="eastAsia" w:ascii="宋体" w:hAnsi="宋体" w:eastAsia="宋体" w:cs="宋体"/>
          <w:color w:val="000000" w:themeColor="text1"/>
          <w:sz w:val="21"/>
          <w:szCs w:val="24"/>
          <w:highlight w:val="none"/>
          <w14:textFill>
            <w14:solidFill>
              <w14:schemeClr w14:val="tx1"/>
            </w14:solidFill>
          </w14:textFill>
        </w:rPr>
        <w:t>月</w:t>
      </w:r>
      <w:r>
        <w:rPr>
          <w:rFonts w:hint="eastAsia" w:ascii="宋体" w:hAnsi="宋体" w:eastAsia="宋体" w:cs="宋体"/>
          <w:color w:val="000000" w:themeColor="text1"/>
          <w:sz w:val="21"/>
          <w:szCs w:val="24"/>
          <w:highlight w:val="none"/>
          <w:lang w:val="en-US" w:eastAsia="zh-CN"/>
          <w14:textFill>
            <w14:solidFill>
              <w14:schemeClr w14:val="tx1"/>
            </w14:solidFill>
          </w14:textFill>
        </w:rPr>
        <w:t>19</w:t>
      </w:r>
      <w:r>
        <w:rPr>
          <w:rFonts w:hint="eastAsia" w:ascii="宋体" w:hAnsi="宋体" w:eastAsia="宋体" w:cs="宋体"/>
          <w:color w:val="000000" w:themeColor="text1"/>
          <w:sz w:val="21"/>
          <w:szCs w:val="24"/>
          <w:highlight w:val="none"/>
          <w14:textFill>
            <w14:solidFill>
              <w14:schemeClr w14:val="tx1"/>
            </w14:solidFill>
          </w14:textFill>
        </w:rPr>
        <w:t>日</w:t>
      </w:r>
    </w:p>
    <w:p w14:paraId="6D30D47C">
      <w:pPr>
        <w:pStyle w:val="15"/>
        <w:spacing w:line="360" w:lineRule="auto"/>
        <w:jc w:val="righ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注：上述时间均为北京时间。具体事宜请与招标代理联系。</w:t>
      </w:r>
    </w:p>
    <w:p w14:paraId="1372FE2F">
      <w:pPr>
        <w:pStyle w:val="15"/>
        <w:spacing w:line="360" w:lineRule="auto"/>
        <w:jc w:val="right"/>
        <w:rPr>
          <w:rFonts w:ascii="Garamond" w:hAnsi="Garamond"/>
          <w:color w:val="000000" w:themeColor="text1"/>
          <w:kern w:val="0"/>
          <w:sz w:val="21"/>
          <w:szCs w:val="21"/>
          <w:highlight w:val="none"/>
          <w14:textFill>
            <w14:solidFill>
              <w14:schemeClr w14:val="tx1"/>
            </w14:solidFill>
          </w14:textFill>
        </w:rPr>
      </w:pPr>
    </w:p>
    <w:p w14:paraId="11431CAA">
      <w:pPr>
        <w:pStyle w:val="15"/>
        <w:spacing w:line="360" w:lineRule="auto"/>
        <w:jc w:val="left"/>
        <w:rPr>
          <w:rFonts w:ascii="Garamond" w:hAnsi="Garamond"/>
          <w:color w:val="000000" w:themeColor="text1"/>
          <w:kern w:val="0"/>
          <w:highlight w:val="none"/>
          <w14:textFill>
            <w14:solidFill>
              <w14:schemeClr w14:val="tx1"/>
            </w14:solidFill>
          </w14:textFill>
        </w:rPr>
      </w:pPr>
    </w:p>
    <w:p w14:paraId="21146D4B">
      <w:pPr>
        <w:pStyle w:val="15"/>
        <w:spacing w:line="360" w:lineRule="auto"/>
        <w:jc w:val="left"/>
        <w:rPr>
          <w:rFonts w:ascii="Garamond" w:hAnsi="Garamond"/>
          <w:color w:val="000000" w:themeColor="text1"/>
          <w:kern w:val="0"/>
          <w:highlight w:val="none"/>
          <w14:textFill>
            <w14:solidFill>
              <w14:schemeClr w14:val="tx1"/>
            </w14:solidFill>
          </w14:textFill>
        </w:rPr>
      </w:pPr>
    </w:p>
    <w:p w14:paraId="4A63DFFF">
      <w:pPr>
        <w:widowControl/>
        <w:jc w:val="left"/>
        <w:rPr>
          <w:rFonts w:ascii="Garamond" w:hAnsi="Garamond"/>
          <w:color w:val="000000" w:themeColor="text1"/>
          <w:kern w:val="0"/>
          <w:sz w:val="24"/>
          <w:szCs w:val="20"/>
          <w:highlight w:val="none"/>
          <w14:textFill>
            <w14:solidFill>
              <w14:schemeClr w14:val="tx1"/>
            </w14:solidFill>
          </w14:textFill>
        </w:rPr>
      </w:pPr>
      <w:r>
        <w:rPr>
          <w:rFonts w:ascii="Garamond" w:hAnsi="Garamond"/>
          <w:color w:val="000000" w:themeColor="text1"/>
          <w:kern w:val="0"/>
          <w:highlight w:val="none"/>
          <w14:textFill>
            <w14:solidFill>
              <w14:schemeClr w14:val="tx1"/>
            </w14:solidFill>
          </w14:textFill>
        </w:rPr>
        <w:br w:type="page"/>
      </w:r>
    </w:p>
    <w:p w14:paraId="1BDE30D2">
      <w:pPr>
        <w:pStyle w:val="15"/>
        <w:spacing w:line="360" w:lineRule="auto"/>
        <w:jc w:val="left"/>
        <w:rPr>
          <w:rFonts w:ascii="Garamond" w:hAnsi="Garamond"/>
          <w:color w:val="000000" w:themeColor="text1"/>
          <w:kern w:val="0"/>
          <w:highlight w:val="none"/>
          <w14:textFill>
            <w14:solidFill>
              <w14:schemeClr w14:val="tx1"/>
            </w14:solidFill>
          </w14:textFill>
        </w:rPr>
      </w:pPr>
    </w:p>
    <w:p w14:paraId="51B64729">
      <w:pPr>
        <w:jc w:val="left"/>
        <w:rPr>
          <w:rFonts w:ascii="宋体" w:hAnsi="宋体"/>
          <w:color w:val="000000" w:themeColor="text1"/>
          <w:kern w:val="0"/>
          <w:sz w:val="28"/>
          <w:szCs w:val="28"/>
          <w:highlight w:val="none"/>
          <w14:textFill>
            <w14:solidFill>
              <w14:schemeClr w14:val="tx1"/>
            </w14:solidFill>
          </w14:textFill>
        </w:rPr>
      </w:pPr>
      <w:r>
        <w:rPr>
          <w:rFonts w:hint="eastAsia" w:ascii="宋体" w:hAnsi="宋体"/>
          <w:color w:val="000000" w:themeColor="text1"/>
          <w:kern w:val="0"/>
          <w:sz w:val="28"/>
          <w:szCs w:val="28"/>
          <w:highlight w:val="none"/>
          <w14:textFill>
            <w14:solidFill>
              <w14:schemeClr w14:val="tx1"/>
            </w14:solidFill>
          </w14:textFill>
        </w:rPr>
        <w:t>附件1</w:t>
      </w:r>
    </w:p>
    <w:p w14:paraId="47F9591F">
      <w:pPr>
        <w:spacing w:line="420" w:lineRule="exact"/>
        <w:jc w:val="center"/>
        <w:rPr>
          <w:b/>
          <w:color w:val="000000" w:themeColor="text1"/>
          <w:kern w:val="0"/>
          <w:sz w:val="32"/>
          <w:szCs w:val="20"/>
          <w:highlight w:val="none"/>
          <w14:textFill>
            <w14:solidFill>
              <w14:schemeClr w14:val="tx1"/>
            </w14:solidFill>
          </w14:textFill>
        </w:rPr>
      </w:pPr>
      <w:r>
        <w:rPr>
          <w:rFonts w:hint="eastAsia"/>
          <w:b/>
          <w:color w:val="000000" w:themeColor="text1"/>
          <w:kern w:val="0"/>
          <w:sz w:val="32"/>
          <w:szCs w:val="20"/>
          <w:highlight w:val="none"/>
          <w14:textFill>
            <w14:solidFill>
              <w14:schemeClr w14:val="tx1"/>
            </w14:solidFill>
          </w14:textFill>
        </w:rPr>
        <w:t>申请函</w:t>
      </w:r>
    </w:p>
    <w:p w14:paraId="5C1C0628">
      <w:pPr>
        <w:spacing w:line="420" w:lineRule="exact"/>
        <w:jc w:val="left"/>
        <w:rPr>
          <w:b/>
          <w:color w:val="000000" w:themeColor="text1"/>
          <w:kern w:val="0"/>
          <w:sz w:val="32"/>
          <w:szCs w:val="20"/>
          <w:highlight w:val="none"/>
          <w14:textFill>
            <w14:solidFill>
              <w14:schemeClr w14:val="tx1"/>
            </w14:solidFill>
          </w14:textFill>
        </w:rPr>
      </w:pPr>
    </w:p>
    <w:p w14:paraId="6FD0C9F9">
      <w:pPr>
        <w:spacing w:line="360" w:lineRule="auto"/>
        <w:jc w:val="left"/>
        <w:rPr>
          <w:rFonts w:ascii="宋体" w:hAnsi="宋体" w:cs="宋体"/>
          <w:b/>
          <w:color w:val="000000" w:themeColor="text1"/>
          <w:kern w:val="0"/>
          <w:szCs w:val="21"/>
          <w:highlight w:val="none"/>
          <w:u w:val="singl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致：</w:t>
      </w:r>
      <w:r>
        <w:rPr>
          <w:rFonts w:hint="eastAsia" w:ascii="宋体" w:hAnsi="宋体" w:cs="宋体"/>
          <w:b/>
          <w:color w:val="000000" w:themeColor="text1"/>
          <w:kern w:val="0"/>
          <w:szCs w:val="21"/>
          <w:highlight w:val="none"/>
          <w:u w:val="single"/>
          <w14:textFill>
            <w14:solidFill>
              <w14:schemeClr w14:val="tx1"/>
            </w14:solidFill>
          </w14:textFill>
        </w:rPr>
        <w:t>南通市公路事业发展中心</w:t>
      </w:r>
    </w:p>
    <w:p w14:paraId="3EA988BD">
      <w:pPr>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我公司已获悉贵单位发出的</w:t>
      </w:r>
      <w:r>
        <w:rPr>
          <w:rFonts w:hint="eastAsia" w:ascii="宋体" w:hAnsi="宋体" w:cs="宋体"/>
          <w:color w:val="000000" w:themeColor="text1"/>
          <w:spacing w:val="7"/>
          <w:kern w:val="0"/>
          <w:szCs w:val="21"/>
          <w:highlight w:val="none"/>
          <w:u w:val="single"/>
          <w14:textFill>
            <w14:solidFill>
              <w14:schemeClr w14:val="tx1"/>
            </w14:solidFill>
          </w14:textFill>
        </w:rPr>
        <w:t xml:space="preserve"> </w:t>
      </w:r>
      <w:r>
        <w:rPr>
          <w:rFonts w:ascii="宋体" w:hAnsi="宋体" w:cs="宋体"/>
          <w:color w:val="000000" w:themeColor="text1"/>
          <w:spacing w:val="7"/>
          <w:kern w:val="0"/>
          <w:szCs w:val="21"/>
          <w:highlight w:val="none"/>
          <w:u w:val="single"/>
          <w14:textFill>
            <w14:solidFill>
              <w14:schemeClr w14:val="tx1"/>
            </w14:solidFill>
          </w14:textFill>
        </w:rPr>
        <w:t xml:space="preserve">                           </w:t>
      </w:r>
      <w:r>
        <w:rPr>
          <w:rFonts w:hint="eastAsia" w:ascii="宋体" w:hAnsi="宋体" w:cs="宋体"/>
          <w:color w:val="000000" w:themeColor="text1"/>
          <w:spacing w:val="7"/>
          <w:kern w:val="0"/>
          <w:szCs w:val="21"/>
          <w:highlight w:val="none"/>
          <w14:textFill>
            <w14:solidFill>
              <w14:schemeClr w14:val="tx1"/>
            </w14:solidFill>
          </w14:textFill>
        </w:rPr>
        <w:t>招标公告</w:t>
      </w:r>
      <w:r>
        <w:rPr>
          <w:rFonts w:hint="eastAsia" w:ascii="宋体" w:hAnsi="宋体" w:cs="宋体"/>
          <w:color w:val="000000" w:themeColor="text1"/>
          <w:kern w:val="0"/>
          <w:szCs w:val="21"/>
          <w:highlight w:val="none"/>
          <w14:textFill>
            <w14:solidFill>
              <w14:schemeClr w14:val="tx1"/>
            </w14:solidFill>
          </w14:textFill>
        </w:rPr>
        <w:t>，经研究，我单位拟参加本项目投标，现申请获取招标文件。</w:t>
      </w:r>
    </w:p>
    <w:p w14:paraId="1AE3578F">
      <w:pPr>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p>
    <w:p w14:paraId="1DAA0D77">
      <w:pPr>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联系人：</w:t>
      </w:r>
    </w:p>
    <w:p w14:paraId="2C0811E2">
      <w:pPr>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联系电话：</w:t>
      </w:r>
    </w:p>
    <w:p w14:paraId="48CEAA12">
      <w:pPr>
        <w:spacing w:line="360" w:lineRule="auto"/>
        <w:ind w:firstLine="420" w:firstLineChars="200"/>
        <w:jc w:val="left"/>
        <w:rPr>
          <w:rFonts w:ascii="宋体" w:hAnsi="宋体" w:cs="宋体"/>
          <w:color w:val="000000" w:themeColor="text1"/>
          <w:kern w:val="0"/>
          <w:szCs w:val="21"/>
          <w:highlight w:val="none"/>
          <w:lang w:val="zh-CN"/>
          <w14:textFill>
            <w14:solidFill>
              <w14:schemeClr w14:val="tx1"/>
            </w14:solidFill>
          </w14:textFill>
        </w:rPr>
      </w:pPr>
      <w:r>
        <w:rPr>
          <w:rFonts w:hint="eastAsia" w:ascii="宋体" w:hAnsi="宋体" w:cs="宋体"/>
          <w:color w:val="000000" w:themeColor="text1"/>
          <w:kern w:val="0"/>
          <w:szCs w:val="21"/>
          <w:highlight w:val="none"/>
          <w:lang w:val="zh-CN"/>
          <w14:textFill>
            <w14:solidFill>
              <w14:schemeClr w14:val="tx1"/>
            </w14:solidFill>
          </w14:textFill>
        </w:rPr>
        <w:t>E-MAIL地址：</w:t>
      </w:r>
    </w:p>
    <w:p w14:paraId="368431E9">
      <w:pPr>
        <w:spacing w:line="360" w:lineRule="auto"/>
        <w:jc w:val="left"/>
        <w:rPr>
          <w:rFonts w:cs="宋体"/>
          <w:color w:val="000000" w:themeColor="text1"/>
          <w:kern w:val="0"/>
          <w:szCs w:val="21"/>
          <w:highlight w:val="none"/>
          <w:lang w:val="zh-CN"/>
          <w14:textFill>
            <w14:solidFill>
              <w14:schemeClr w14:val="tx1"/>
            </w14:solidFill>
          </w14:textFill>
        </w:rPr>
      </w:pPr>
    </w:p>
    <w:p w14:paraId="7418B5E6">
      <w:pPr>
        <w:spacing w:line="360" w:lineRule="auto"/>
        <w:jc w:val="left"/>
        <w:rPr>
          <w:rFonts w:cs="宋体"/>
          <w:b/>
          <w:color w:val="000000" w:themeColor="text1"/>
          <w:kern w:val="0"/>
          <w:szCs w:val="21"/>
          <w:highlight w:val="none"/>
          <w:lang w:val="zh-CN"/>
          <w14:textFill>
            <w14:solidFill>
              <w14:schemeClr w14:val="tx1"/>
            </w14:solidFill>
          </w14:textFill>
        </w:rPr>
      </w:pPr>
    </w:p>
    <w:p w14:paraId="58DA631C">
      <w:pPr>
        <w:spacing w:line="360" w:lineRule="auto"/>
        <w:jc w:val="left"/>
        <w:rPr>
          <w:rFonts w:cs="宋体"/>
          <w:b/>
          <w:color w:val="000000" w:themeColor="text1"/>
          <w:kern w:val="0"/>
          <w:szCs w:val="21"/>
          <w:highlight w:val="none"/>
          <w:lang w:val="zh-CN"/>
          <w14:textFill>
            <w14:solidFill>
              <w14:schemeClr w14:val="tx1"/>
            </w14:solidFill>
          </w14:textFill>
        </w:rPr>
      </w:pPr>
    </w:p>
    <w:p w14:paraId="6C0E8A0D">
      <w:pPr>
        <w:spacing w:line="360" w:lineRule="auto"/>
        <w:jc w:val="left"/>
        <w:rPr>
          <w:rFonts w:cs="宋体"/>
          <w:b/>
          <w:color w:val="000000" w:themeColor="text1"/>
          <w:kern w:val="0"/>
          <w:szCs w:val="21"/>
          <w:highlight w:val="none"/>
          <w:lang w:val="zh-CN"/>
          <w14:textFill>
            <w14:solidFill>
              <w14:schemeClr w14:val="tx1"/>
            </w14:solidFill>
          </w14:textFill>
        </w:rPr>
      </w:pPr>
    </w:p>
    <w:p w14:paraId="0EFC7376">
      <w:pPr>
        <w:spacing w:line="360" w:lineRule="auto"/>
        <w:ind w:firstLine="4620" w:firstLineChars="2200"/>
        <w:jc w:val="left"/>
        <w:rPr>
          <w:rFonts w:cs="宋体"/>
          <w:color w:val="000000" w:themeColor="text1"/>
          <w:kern w:val="0"/>
          <w:szCs w:val="21"/>
          <w:highlight w:val="none"/>
          <w:u w:val="single"/>
          <w:lang w:val="zh-CN"/>
          <w14:textFill>
            <w14:solidFill>
              <w14:schemeClr w14:val="tx1"/>
            </w14:solidFill>
          </w14:textFill>
        </w:rPr>
      </w:pPr>
      <w:r>
        <w:rPr>
          <w:rFonts w:hint="eastAsia" w:cs="宋体"/>
          <w:color w:val="000000" w:themeColor="text1"/>
          <w:kern w:val="0"/>
          <w:szCs w:val="21"/>
          <w:highlight w:val="none"/>
          <w:lang w:val="zh-CN"/>
          <w14:textFill>
            <w14:solidFill>
              <w14:schemeClr w14:val="tx1"/>
            </w14:solidFill>
          </w14:textFill>
        </w:rPr>
        <w:t>单位：</w:t>
      </w:r>
      <w:r>
        <w:rPr>
          <w:rFonts w:hint="eastAsia" w:cs="宋体"/>
          <w:color w:val="000000" w:themeColor="text1"/>
          <w:kern w:val="0"/>
          <w:szCs w:val="21"/>
          <w:highlight w:val="none"/>
          <w:u w:val="single"/>
          <w:lang w:val="zh-CN"/>
          <w14:textFill>
            <w14:solidFill>
              <w14:schemeClr w14:val="tx1"/>
            </w14:solidFill>
          </w14:textFill>
        </w:rPr>
        <w:t xml:space="preserve"> （盖章）                 </w:t>
      </w:r>
    </w:p>
    <w:p w14:paraId="29BC9A8A">
      <w:pPr>
        <w:spacing w:line="360" w:lineRule="auto"/>
        <w:ind w:firstLine="5661" w:firstLineChars="2696"/>
        <w:jc w:val="left"/>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lang w:val="zh-CN"/>
          <w14:textFill>
            <w14:solidFill>
              <w14:schemeClr w14:val="tx1"/>
            </w14:solidFill>
          </w14:textFill>
        </w:rPr>
        <w:t>年   月   日</w:t>
      </w:r>
    </w:p>
    <w:p w14:paraId="21342C4C">
      <w:pPr>
        <w:spacing w:line="480" w:lineRule="auto"/>
        <w:ind w:firstLine="480" w:firstLineChars="200"/>
        <w:jc w:val="left"/>
        <w:rPr>
          <w:bCs/>
          <w:color w:val="000000" w:themeColor="text1"/>
          <w:sz w:val="24"/>
          <w:highlight w:val="none"/>
          <w:u w:val="single"/>
          <w14:textFill>
            <w14:solidFill>
              <w14:schemeClr w14:val="tx1"/>
            </w14:solidFill>
          </w14:textFill>
        </w:rPr>
      </w:pPr>
    </w:p>
    <w:p w14:paraId="51271E08">
      <w:pPr>
        <w:pStyle w:val="15"/>
        <w:spacing w:line="360" w:lineRule="auto"/>
        <w:jc w:val="left"/>
        <w:rPr>
          <w:rFonts w:ascii="Garamond" w:hAnsi="Garamond"/>
          <w:b/>
          <w:color w:val="000000" w:themeColor="text1"/>
          <w:szCs w:val="24"/>
          <w:highlight w:val="none"/>
          <w14:textFill>
            <w14:solidFill>
              <w14:schemeClr w14:val="tx1"/>
            </w14:solidFill>
          </w14:textFill>
        </w:rPr>
      </w:pPr>
    </w:p>
    <w:p w14:paraId="797616A1">
      <w:pPr>
        <w:spacing w:line="360" w:lineRule="auto"/>
        <w:ind w:firstLine="4410" w:firstLineChars="2100"/>
        <w:jc w:val="left"/>
        <w:rPr>
          <w:rFonts w:ascii="Garamond" w:hAnsi="Garamond"/>
          <w:color w:val="000000" w:themeColor="text1"/>
          <w:szCs w:val="21"/>
          <w:highlight w:val="none"/>
          <w14:textFill>
            <w14:solidFill>
              <w14:schemeClr w14:val="tx1"/>
            </w14:solidFill>
          </w14:textFill>
        </w:rPr>
        <w:sectPr>
          <w:pgSz w:w="11906" w:h="16838"/>
          <w:pgMar w:top="1418" w:right="1247" w:bottom="1418" w:left="1418" w:header="851" w:footer="680" w:gutter="0"/>
          <w:pgNumType w:fmt="decimal" w:start="1"/>
          <w:cols w:space="720" w:num="1"/>
          <w:docGrid w:linePitch="312" w:charSpace="0"/>
        </w:sectPr>
      </w:pPr>
    </w:p>
    <w:p w14:paraId="45B48B0D">
      <w:pPr>
        <w:pStyle w:val="2"/>
        <w:spacing w:after="120" w:line="338" w:lineRule="auto"/>
        <w:ind w:firstLine="2380" w:firstLineChars="494"/>
        <w:rPr>
          <w:rFonts w:ascii="Garamond" w:hAnsi="Garamond"/>
          <w:color w:val="000000" w:themeColor="text1"/>
          <w:sz w:val="48"/>
          <w:szCs w:val="48"/>
          <w:highlight w:val="none"/>
          <w14:textFill>
            <w14:solidFill>
              <w14:schemeClr w14:val="tx1"/>
            </w14:solidFill>
          </w14:textFill>
        </w:rPr>
      </w:pPr>
      <w:bookmarkStart w:id="50" w:name="_Toc353197073"/>
      <w:r>
        <w:rPr>
          <w:rFonts w:ascii="Garamond" w:hAnsi="Garamond"/>
          <w:color w:val="000000" w:themeColor="text1"/>
          <w:sz w:val="48"/>
          <w:szCs w:val="48"/>
          <w:highlight w:val="none"/>
          <w14:textFill>
            <w14:solidFill>
              <w14:schemeClr w14:val="tx1"/>
            </w14:solidFill>
          </w14:textFill>
        </w:rPr>
        <w:t>第二章  投标人须知</w:t>
      </w:r>
      <w:bookmarkEnd w:id="50"/>
    </w:p>
    <w:p w14:paraId="15EC1B78">
      <w:pPr>
        <w:pStyle w:val="115"/>
        <w:spacing w:before="120" w:after="120" w:afterLines="50"/>
        <w:jc w:val="center"/>
        <w:rPr>
          <w:rFonts w:ascii="Garamond" w:hAnsi="Garamond" w:eastAsia="宋体" w:cs="Times New Roman"/>
          <w:b/>
          <w:color w:val="000000" w:themeColor="text1"/>
          <w:highlight w:val="none"/>
          <w14:textFill>
            <w14:solidFill>
              <w14:schemeClr w14:val="tx1"/>
            </w14:solidFill>
          </w14:textFill>
        </w:rPr>
      </w:pPr>
      <w:bookmarkStart w:id="51" w:name="_Toc144974496"/>
      <w:bookmarkStart w:id="52" w:name="_Toc152042304"/>
      <w:bookmarkStart w:id="53" w:name="_Toc179632545"/>
      <w:bookmarkStart w:id="54" w:name="_Toc238559184"/>
      <w:bookmarkStart w:id="55" w:name="_Toc234675075"/>
      <w:bookmarkStart w:id="56" w:name="_Toc152045528"/>
      <w:bookmarkStart w:id="57" w:name="_Toc234744443"/>
      <w:r>
        <w:rPr>
          <w:rFonts w:ascii="Garamond" w:hAnsi="Garamond" w:eastAsia="宋体" w:cs="Times New Roman"/>
          <w:b/>
          <w:color w:val="000000" w:themeColor="text1"/>
          <w:highlight w:val="none"/>
          <w14:textFill>
            <w14:solidFill>
              <w14:schemeClr w14:val="tx1"/>
            </w14:solidFill>
          </w14:textFill>
        </w:rPr>
        <w:t>投标人须知前附表</w:t>
      </w:r>
      <w:bookmarkEnd w:id="51"/>
      <w:bookmarkEnd w:id="52"/>
      <w:bookmarkEnd w:id="53"/>
      <w:bookmarkEnd w:id="54"/>
      <w:bookmarkEnd w:id="55"/>
      <w:bookmarkEnd w:id="56"/>
      <w:bookmarkEnd w:id="57"/>
    </w:p>
    <w:tbl>
      <w:tblPr>
        <w:tblStyle w:val="47"/>
        <w:tblW w:w="47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4"/>
        <w:gridCol w:w="2990"/>
        <w:gridCol w:w="4920"/>
        <w:gridCol w:w="9"/>
      </w:tblGrid>
      <w:tr w14:paraId="489F5E93">
        <w:tblPrEx>
          <w:tblCellMar>
            <w:top w:w="0" w:type="dxa"/>
            <w:left w:w="108" w:type="dxa"/>
            <w:bottom w:w="0" w:type="dxa"/>
            <w:right w:w="108" w:type="dxa"/>
          </w:tblCellMar>
        </w:tblPrEx>
        <w:trPr>
          <w:jc w:val="center"/>
        </w:trPr>
        <w:tc>
          <w:tcPr>
            <w:tcW w:w="587" w:type="pct"/>
            <w:noWrap w:val="0"/>
            <w:vAlign w:val="center"/>
          </w:tcPr>
          <w:p w14:paraId="5C0BE4D5">
            <w:pPr>
              <w:adjustRightInd w:val="0"/>
              <w:snapToGrid w:val="0"/>
              <w:jc w:val="center"/>
              <w:rPr>
                <w:rFonts w:ascii="宋体" w:hAnsi="宋体"/>
                <w:b/>
                <w:bCs/>
                <w:szCs w:val="21"/>
                <w:highlight w:val="none"/>
              </w:rPr>
            </w:pPr>
            <w:bookmarkStart w:id="58" w:name="_Hlk141458987"/>
            <w:r>
              <w:rPr>
                <w:rFonts w:ascii="宋体" w:hAnsi="宋体"/>
                <w:b/>
                <w:bCs/>
                <w:szCs w:val="21"/>
                <w:highlight w:val="none"/>
              </w:rPr>
              <w:t>条款号</w:t>
            </w:r>
          </w:p>
        </w:tc>
        <w:tc>
          <w:tcPr>
            <w:tcW w:w="1666" w:type="pct"/>
            <w:noWrap w:val="0"/>
            <w:vAlign w:val="center"/>
          </w:tcPr>
          <w:p w14:paraId="15A99D4B">
            <w:pPr>
              <w:adjustRightInd w:val="0"/>
              <w:snapToGrid w:val="0"/>
              <w:jc w:val="center"/>
              <w:rPr>
                <w:rFonts w:ascii="宋体" w:hAnsi="宋体"/>
                <w:b/>
                <w:bCs/>
                <w:szCs w:val="21"/>
                <w:highlight w:val="none"/>
              </w:rPr>
            </w:pPr>
            <w:r>
              <w:rPr>
                <w:rFonts w:ascii="宋体" w:hAnsi="宋体"/>
                <w:b/>
                <w:bCs/>
                <w:szCs w:val="21"/>
                <w:highlight w:val="none"/>
              </w:rPr>
              <w:t>条款名称</w:t>
            </w:r>
          </w:p>
        </w:tc>
        <w:tc>
          <w:tcPr>
            <w:tcW w:w="2746" w:type="pct"/>
            <w:gridSpan w:val="2"/>
            <w:noWrap w:val="0"/>
            <w:vAlign w:val="center"/>
          </w:tcPr>
          <w:p w14:paraId="41AEFE84">
            <w:pPr>
              <w:adjustRightInd w:val="0"/>
              <w:snapToGrid w:val="0"/>
              <w:jc w:val="center"/>
              <w:rPr>
                <w:rFonts w:ascii="宋体" w:hAnsi="宋体"/>
                <w:b/>
                <w:bCs/>
                <w:szCs w:val="21"/>
                <w:highlight w:val="none"/>
              </w:rPr>
            </w:pPr>
            <w:r>
              <w:rPr>
                <w:rFonts w:ascii="宋体" w:hAnsi="宋体"/>
                <w:b/>
                <w:bCs/>
                <w:szCs w:val="21"/>
                <w:highlight w:val="none"/>
              </w:rPr>
              <w:t>编列内容</w:t>
            </w:r>
          </w:p>
        </w:tc>
      </w:tr>
      <w:tr w14:paraId="196E8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6609ADF4">
            <w:pPr>
              <w:adjustRightInd w:val="0"/>
              <w:snapToGrid w:val="0"/>
              <w:jc w:val="center"/>
              <w:rPr>
                <w:rFonts w:ascii="宋体" w:hAnsi="宋体"/>
                <w:szCs w:val="21"/>
                <w:highlight w:val="none"/>
              </w:rPr>
            </w:pPr>
            <w:r>
              <w:rPr>
                <w:rFonts w:ascii="宋体" w:hAnsi="宋体"/>
                <w:szCs w:val="21"/>
                <w:highlight w:val="none"/>
              </w:rPr>
              <w:t>1.1.2</w:t>
            </w:r>
          </w:p>
        </w:tc>
        <w:tc>
          <w:tcPr>
            <w:tcW w:w="1666" w:type="pct"/>
            <w:noWrap w:val="0"/>
            <w:vAlign w:val="center"/>
          </w:tcPr>
          <w:p w14:paraId="1A11FD9A">
            <w:pPr>
              <w:adjustRightInd w:val="0"/>
              <w:snapToGrid w:val="0"/>
              <w:jc w:val="center"/>
              <w:rPr>
                <w:rFonts w:ascii="宋体" w:hAnsi="宋体"/>
                <w:szCs w:val="21"/>
                <w:highlight w:val="none"/>
              </w:rPr>
            </w:pPr>
            <w:r>
              <w:rPr>
                <w:rFonts w:ascii="宋体" w:hAnsi="宋体"/>
                <w:szCs w:val="21"/>
                <w:highlight w:val="none"/>
              </w:rPr>
              <w:t>招标人</w:t>
            </w:r>
          </w:p>
        </w:tc>
        <w:tc>
          <w:tcPr>
            <w:tcW w:w="2746" w:type="pct"/>
            <w:gridSpan w:val="2"/>
            <w:noWrap w:val="0"/>
            <w:vAlign w:val="center"/>
          </w:tcPr>
          <w:p w14:paraId="3EF9CDF3">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招标人：南通市公路事业发展中心</w:t>
            </w:r>
          </w:p>
          <w:p w14:paraId="40390ED1">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地址：江苏省南通市跃龙路4号</w:t>
            </w:r>
          </w:p>
          <w:p w14:paraId="2C57AC8F">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联系人：荣慧</w:t>
            </w:r>
          </w:p>
          <w:p w14:paraId="60D78CB9">
            <w:pPr>
              <w:adjustRightInd w:val="0"/>
              <w:snapToGrid w:val="0"/>
              <w:rPr>
                <w:rFonts w:ascii="宋体" w:hAnsi="宋体"/>
                <w:szCs w:val="21"/>
                <w:highlight w:val="none"/>
              </w:rPr>
            </w:pPr>
            <w:r>
              <w:rPr>
                <w:rFonts w:hint="eastAsia"/>
                <w:color w:val="000000" w:themeColor="text1"/>
                <w:highlight w:val="none"/>
                <w14:textFill>
                  <w14:solidFill>
                    <w14:schemeClr w14:val="tx1"/>
                  </w14:solidFill>
                </w14:textFill>
              </w:rPr>
              <w:t>电话：0513-85524439</w:t>
            </w:r>
          </w:p>
        </w:tc>
      </w:tr>
      <w:tr w14:paraId="22112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4AF0D777">
            <w:pPr>
              <w:adjustRightInd w:val="0"/>
              <w:snapToGrid w:val="0"/>
              <w:jc w:val="center"/>
              <w:rPr>
                <w:rFonts w:ascii="宋体" w:hAnsi="宋体"/>
                <w:szCs w:val="21"/>
                <w:highlight w:val="none"/>
              </w:rPr>
            </w:pPr>
            <w:r>
              <w:rPr>
                <w:rFonts w:ascii="宋体" w:hAnsi="宋体"/>
                <w:szCs w:val="21"/>
                <w:highlight w:val="none"/>
              </w:rPr>
              <w:t>1.1.3</w:t>
            </w:r>
          </w:p>
        </w:tc>
        <w:tc>
          <w:tcPr>
            <w:tcW w:w="1666" w:type="pct"/>
            <w:noWrap w:val="0"/>
            <w:vAlign w:val="center"/>
          </w:tcPr>
          <w:p w14:paraId="62290049">
            <w:pPr>
              <w:adjustRightInd w:val="0"/>
              <w:snapToGrid w:val="0"/>
              <w:jc w:val="center"/>
              <w:rPr>
                <w:rFonts w:ascii="宋体" w:hAnsi="宋体"/>
                <w:szCs w:val="21"/>
                <w:highlight w:val="none"/>
              </w:rPr>
            </w:pPr>
            <w:r>
              <w:rPr>
                <w:rFonts w:ascii="宋体" w:hAnsi="宋体"/>
                <w:szCs w:val="21"/>
                <w:highlight w:val="none"/>
              </w:rPr>
              <w:t>招标代理机构</w:t>
            </w:r>
          </w:p>
        </w:tc>
        <w:tc>
          <w:tcPr>
            <w:tcW w:w="2746" w:type="pct"/>
            <w:gridSpan w:val="2"/>
            <w:noWrap w:val="0"/>
            <w:vAlign w:val="center"/>
          </w:tcPr>
          <w:p w14:paraId="1A8C75C0">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招标代理：江苏睿致诚工程咨询有限公司</w:t>
            </w:r>
          </w:p>
          <w:p w14:paraId="3343114D">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地址：南京市江宁区江南路697号金轮星际中心A1栋7楼</w:t>
            </w:r>
          </w:p>
          <w:p w14:paraId="468100EC">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电话：13814662273（周天豪）</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18932207883（陈小龙）</w:t>
            </w:r>
          </w:p>
          <w:p w14:paraId="108E3272">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联系人：周天豪</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陈小龙</w:t>
            </w:r>
          </w:p>
          <w:p w14:paraId="3994A873">
            <w:pPr>
              <w:adjustRightInd w:val="0"/>
              <w:snapToGrid w:val="0"/>
              <w:rPr>
                <w:rFonts w:hint="eastAsia" w:ascii="宋体" w:hAnsi="宋体"/>
                <w:szCs w:val="21"/>
                <w:highlight w:val="none"/>
              </w:rPr>
            </w:pPr>
            <w:r>
              <w:rPr>
                <w:rFonts w:hint="eastAsia"/>
                <w:color w:val="000000" w:themeColor="text1"/>
                <w:highlight w:val="none"/>
                <w14:textFill>
                  <w14:solidFill>
                    <w14:schemeClr w14:val="tx1"/>
                  </w14:solidFill>
                </w14:textFill>
              </w:rPr>
              <w:t>Email：jsrzcnt@126.com</w:t>
            </w:r>
          </w:p>
        </w:tc>
      </w:tr>
      <w:tr w14:paraId="164EA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6ED05B4D">
            <w:pPr>
              <w:adjustRightInd w:val="0"/>
              <w:snapToGrid w:val="0"/>
              <w:jc w:val="center"/>
              <w:rPr>
                <w:rFonts w:ascii="宋体" w:hAnsi="宋体"/>
                <w:szCs w:val="21"/>
                <w:highlight w:val="none"/>
              </w:rPr>
            </w:pPr>
            <w:r>
              <w:rPr>
                <w:rFonts w:ascii="宋体" w:hAnsi="宋体"/>
                <w:szCs w:val="21"/>
                <w:highlight w:val="none"/>
              </w:rPr>
              <w:t>1.1.4</w:t>
            </w:r>
          </w:p>
        </w:tc>
        <w:tc>
          <w:tcPr>
            <w:tcW w:w="1666" w:type="pct"/>
            <w:noWrap w:val="0"/>
            <w:vAlign w:val="center"/>
          </w:tcPr>
          <w:p w14:paraId="2C26CDA3">
            <w:pPr>
              <w:adjustRightInd w:val="0"/>
              <w:snapToGrid w:val="0"/>
              <w:jc w:val="center"/>
              <w:rPr>
                <w:rFonts w:ascii="宋体" w:hAnsi="宋体"/>
                <w:szCs w:val="21"/>
                <w:highlight w:val="none"/>
              </w:rPr>
            </w:pPr>
            <w:r>
              <w:rPr>
                <w:rFonts w:ascii="宋体" w:hAnsi="宋体"/>
                <w:szCs w:val="21"/>
                <w:highlight w:val="none"/>
              </w:rPr>
              <w:t>招标项目名称</w:t>
            </w:r>
          </w:p>
        </w:tc>
        <w:tc>
          <w:tcPr>
            <w:tcW w:w="2746" w:type="pct"/>
            <w:gridSpan w:val="2"/>
            <w:noWrap w:val="0"/>
            <w:vAlign w:val="center"/>
          </w:tcPr>
          <w:p w14:paraId="4AA345D9">
            <w:pPr>
              <w:adjustRightInd w:val="0"/>
              <w:snapToGrid w:val="0"/>
              <w:rPr>
                <w:rFonts w:hint="eastAsia" w:ascii="宋体" w:hAnsi="宋体"/>
                <w:szCs w:val="21"/>
                <w:highlight w:val="none"/>
              </w:rPr>
            </w:pPr>
            <w:r>
              <w:rPr>
                <w:rFonts w:hint="eastAsia" w:ascii="宋体" w:hAnsi="宋体" w:cs="宋体"/>
                <w:szCs w:val="21"/>
                <w:highlight w:val="none"/>
              </w:rPr>
              <w:t>详见招标公告</w:t>
            </w:r>
          </w:p>
        </w:tc>
      </w:tr>
      <w:tr w14:paraId="6D0A3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270D79F6">
            <w:pPr>
              <w:adjustRightInd w:val="0"/>
              <w:snapToGrid w:val="0"/>
              <w:jc w:val="center"/>
              <w:rPr>
                <w:rFonts w:ascii="宋体" w:hAnsi="宋体"/>
                <w:szCs w:val="21"/>
                <w:highlight w:val="none"/>
              </w:rPr>
            </w:pPr>
            <w:r>
              <w:rPr>
                <w:rFonts w:ascii="宋体" w:hAnsi="宋体"/>
                <w:szCs w:val="21"/>
                <w:highlight w:val="none"/>
              </w:rPr>
              <w:t>1.1.5</w:t>
            </w:r>
          </w:p>
        </w:tc>
        <w:tc>
          <w:tcPr>
            <w:tcW w:w="1666" w:type="pct"/>
            <w:noWrap w:val="0"/>
            <w:vAlign w:val="center"/>
          </w:tcPr>
          <w:p w14:paraId="1B10F46A">
            <w:pPr>
              <w:adjustRightInd w:val="0"/>
              <w:snapToGrid w:val="0"/>
              <w:jc w:val="center"/>
              <w:rPr>
                <w:rFonts w:ascii="宋体" w:hAnsi="宋体"/>
                <w:szCs w:val="21"/>
                <w:highlight w:val="none"/>
              </w:rPr>
            </w:pPr>
            <w:r>
              <w:rPr>
                <w:rFonts w:ascii="宋体" w:hAnsi="宋体"/>
                <w:szCs w:val="21"/>
                <w:highlight w:val="none"/>
              </w:rPr>
              <w:t>项目建设地点</w:t>
            </w:r>
          </w:p>
        </w:tc>
        <w:tc>
          <w:tcPr>
            <w:tcW w:w="2746" w:type="pct"/>
            <w:gridSpan w:val="2"/>
            <w:noWrap w:val="0"/>
            <w:vAlign w:val="center"/>
          </w:tcPr>
          <w:p w14:paraId="21D5ED6E">
            <w:pPr>
              <w:adjustRightInd w:val="0"/>
              <w:snapToGrid w:val="0"/>
              <w:rPr>
                <w:rFonts w:ascii="宋体" w:hAnsi="宋体"/>
                <w:szCs w:val="21"/>
                <w:highlight w:val="none"/>
              </w:rPr>
            </w:pPr>
            <w:r>
              <w:rPr>
                <w:rFonts w:ascii="宋体" w:hAnsi="宋体"/>
                <w:szCs w:val="21"/>
                <w:highlight w:val="none"/>
              </w:rPr>
              <w:t>江苏省南通市</w:t>
            </w:r>
          </w:p>
        </w:tc>
      </w:tr>
      <w:tr w14:paraId="1929E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727A1F4E">
            <w:pPr>
              <w:adjustRightInd w:val="0"/>
              <w:snapToGrid w:val="0"/>
              <w:jc w:val="center"/>
              <w:rPr>
                <w:rFonts w:ascii="宋体" w:hAnsi="宋体"/>
                <w:szCs w:val="21"/>
                <w:highlight w:val="none"/>
              </w:rPr>
            </w:pPr>
            <w:r>
              <w:rPr>
                <w:rFonts w:ascii="宋体" w:hAnsi="宋体"/>
                <w:szCs w:val="21"/>
                <w:highlight w:val="none"/>
              </w:rPr>
              <w:t>1.1.6</w:t>
            </w:r>
          </w:p>
        </w:tc>
        <w:tc>
          <w:tcPr>
            <w:tcW w:w="1666" w:type="pct"/>
            <w:noWrap w:val="0"/>
            <w:vAlign w:val="center"/>
          </w:tcPr>
          <w:p w14:paraId="473DD6A7">
            <w:pPr>
              <w:adjustRightInd w:val="0"/>
              <w:snapToGrid w:val="0"/>
              <w:jc w:val="center"/>
              <w:rPr>
                <w:rFonts w:ascii="宋体" w:hAnsi="宋体"/>
                <w:szCs w:val="21"/>
                <w:highlight w:val="none"/>
              </w:rPr>
            </w:pPr>
            <w:r>
              <w:rPr>
                <w:rFonts w:ascii="宋体" w:hAnsi="宋体"/>
                <w:szCs w:val="21"/>
                <w:highlight w:val="none"/>
              </w:rPr>
              <w:t>项目建设规模</w:t>
            </w:r>
          </w:p>
        </w:tc>
        <w:tc>
          <w:tcPr>
            <w:tcW w:w="2746" w:type="pct"/>
            <w:gridSpan w:val="2"/>
            <w:noWrap w:val="0"/>
            <w:vAlign w:val="center"/>
          </w:tcPr>
          <w:p w14:paraId="35A495A6">
            <w:pPr>
              <w:adjustRightInd w:val="0"/>
              <w:snapToGrid w:val="0"/>
              <w:rPr>
                <w:rFonts w:ascii="宋体" w:hAnsi="宋体"/>
                <w:szCs w:val="21"/>
                <w:highlight w:val="none"/>
              </w:rPr>
            </w:pPr>
            <w:r>
              <w:rPr>
                <w:rFonts w:hint="eastAsia" w:ascii="宋体" w:hAnsi="宋体" w:cs="宋体"/>
                <w:szCs w:val="21"/>
                <w:highlight w:val="none"/>
              </w:rPr>
              <w:t>详见招标公告</w:t>
            </w:r>
          </w:p>
        </w:tc>
      </w:tr>
      <w:tr w14:paraId="4B9D4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318F5A38">
            <w:pPr>
              <w:adjustRightInd w:val="0"/>
              <w:snapToGrid w:val="0"/>
              <w:jc w:val="center"/>
              <w:rPr>
                <w:rFonts w:ascii="宋体" w:hAnsi="宋体"/>
                <w:szCs w:val="21"/>
                <w:highlight w:val="none"/>
              </w:rPr>
            </w:pPr>
            <w:r>
              <w:rPr>
                <w:rFonts w:ascii="宋体" w:hAnsi="宋体"/>
                <w:szCs w:val="21"/>
                <w:highlight w:val="none"/>
              </w:rPr>
              <w:t>1.1.7</w:t>
            </w:r>
          </w:p>
        </w:tc>
        <w:tc>
          <w:tcPr>
            <w:tcW w:w="1666" w:type="pct"/>
            <w:noWrap w:val="0"/>
            <w:vAlign w:val="center"/>
          </w:tcPr>
          <w:p w14:paraId="48110829">
            <w:pPr>
              <w:adjustRightInd w:val="0"/>
              <w:snapToGrid w:val="0"/>
              <w:jc w:val="center"/>
              <w:rPr>
                <w:rFonts w:ascii="宋体" w:hAnsi="宋体"/>
                <w:szCs w:val="21"/>
                <w:highlight w:val="none"/>
              </w:rPr>
            </w:pPr>
            <w:r>
              <w:rPr>
                <w:rFonts w:ascii="宋体" w:hAnsi="宋体"/>
                <w:szCs w:val="21"/>
                <w:highlight w:val="none"/>
              </w:rPr>
              <w:t>项目投资估算</w:t>
            </w:r>
          </w:p>
        </w:tc>
        <w:tc>
          <w:tcPr>
            <w:tcW w:w="2746" w:type="pct"/>
            <w:gridSpan w:val="2"/>
            <w:noWrap w:val="0"/>
            <w:vAlign w:val="center"/>
          </w:tcPr>
          <w:p w14:paraId="5F6C4299">
            <w:pPr>
              <w:adjustRightInd w:val="0"/>
              <w:snapToGrid w:val="0"/>
              <w:rPr>
                <w:rFonts w:ascii="宋体" w:hAnsi="宋体"/>
                <w:szCs w:val="21"/>
                <w:highlight w:val="none"/>
              </w:rPr>
            </w:pPr>
            <w:r>
              <w:rPr>
                <w:rFonts w:hint="eastAsia" w:ascii="宋体" w:hAnsi="宋体" w:cs="宋体"/>
                <w:szCs w:val="21"/>
                <w:highlight w:val="none"/>
              </w:rPr>
              <w:t>详见招标公告</w:t>
            </w:r>
          </w:p>
        </w:tc>
      </w:tr>
      <w:tr w14:paraId="7DDE1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56520D1C">
            <w:pPr>
              <w:adjustRightInd w:val="0"/>
              <w:snapToGrid w:val="0"/>
              <w:jc w:val="center"/>
              <w:rPr>
                <w:rFonts w:ascii="宋体" w:hAnsi="宋体"/>
                <w:szCs w:val="21"/>
                <w:highlight w:val="none"/>
              </w:rPr>
            </w:pPr>
            <w:r>
              <w:rPr>
                <w:rFonts w:ascii="宋体" w:hAnsi="宋体"/>
                <w:szCs w:val="21"/>
                <w:highlight w:val="none"/>
              </w:rPr>
              <w:t>1.2.1</w:t>
            </w:r>
          </w:p>
        </w:tc>
        <w:tc>
          <w:tcPr>
            <w:tcW w:w="1666" w:type="pct"/>
            <w:noWrap w:val="0"/>
            <w:vAlign w:val="center"/>
          </w:tcPr>
          <w:p w14:paraId="7019CC7A">
            <w:pPr>
              <w:adjustRightInd w:val="0"/>
              <w:snapToGrid w:val="0"/>
              <w:jc w:val="center"/>
              <w:rPr>
                <w:rFonts w:ascii="宋体" w:hAnsi="宋体"/>
                <w:szCs w:val="21"/>
                <w:highlight w:val="none"/>
              </w:rPr>
            </w:pPr>
            <w:r>
              <w:rPr>
                <w:rFonts w:ascii="宋体" w:hAnsi="宋体"/>
                <w:szCs w:val="21"/>
                <w:highlight w:val="none"/>
              </w:rPr>
              <w:t>资金来源及比例</w:t>
            </w:r>
          </w:p>
        </w:tc>
        <w:tc>
          <w:tcPr>
            <w:tcW w:w="2746" w:type="pct"/>
            <w:gridSpan w:val="2"/>
            <w:noWrap w:val="0"/>
            <w:vAlign w:val="center"/>
          </w:tcPr>
          <w:p w14:paraId="55A8E5F2">
            <w:pPr>
              <w:adjustRightInd w:val="0"/>
              <w:snapToGrid w:val="0"/>
              <w:rPr>
                <w:rFonts w:ascii="宋体" w:hAnsi="宋体"/>
                <w:szCs w:val="21"/>
                <w:highlight w:val="none"/>
              </w:rPr>
            </w:pPr>
            <w:r>
              <w:rPr>
                <w:rFonts w:hint="eastAsia" w:ascii="宋体" w:hAnsi="宋体" w:cs="宋体"/>
                <w:szCs w:val="21"/>
                <w:highlight w:val="none"/>
              </w:rPr>
              <w:t>详见招标公告</w:t>
            </w:r>
          </w:p>
        </w:tc>
      </w:tr>
      <w:tr w14:paraId="67262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5CE9080A">
            <w:pPr>
              <w:adjustRightInd w:val="0"/>
              <w:snapToGrid w:val="0"/>
              <w:jc w:val="center"/>
              <w:rPr>
                <w:rFonts w:ascii="宋体" w:hAnsi="宋体"/>
                <w:szCs w:val="21"/>
                <w:highlight w:val="none"/>
              </w:rPr>
            </w:pPr>
            <w:r>
              <w:rPr>
                <w:rFonts w:ascii="宋体" w:hAnsi="宋体"/>
                <w:szCs w:val="21"/>
                <w:highlight w:val="none"/>
              </w:rPr>
              <w:t>1.2.2</w:t>
            </w:r>
          </w:p>
        </w:tc>
        <w:tc>
          <w:tcPr>
            <w:tcW w:w="1666" w:type="pct"/>
            <w:noWrap w:val="0"/>
            <w:vAlign w:val="center"/>
          </w:tcPr>
          <w:p w14:paraId="7CDFF67A">
            <w:pPr>
              <w:adjustRightInd w:val="0"/>
              <w:snapToGrid w:val="0"/>
              <w:jc w:val="center"/>
              <w:rPr>
                <w:rFonts w:ascii="宋体" w:hAnsi="宋体"/>
                <w:szCs w:val="21"/>
                <w:highlight w:val="none"/>
              </w:rPr>
            </w:pPr>
            <w:r>
              <w:rPr>
                <w:rFonts w:ascii="宋体" w:hAnsi="宋体"/>
                <w:szCs w:val="21"/>
                <w:highlight w:val="none"/>
              </w:rPr>
              <w:t>资金落实情况</w:t>
            </w:r>
          </w:p>
        </w:tc>
        <w:tc>
          <w:tcPr>
            <w:tcW w:w="2746" w:type="pct"/>
            <w:gridSpan w:val="2"/>
            <w:noWrap w:val="0"/>
            <w:vAlign w:val="center"/>
          </w:tcPr>
          <w:p w14:paraId="1EE4437D">
            <w:pPr>
              <w:adjustRightInd w:val="0"/>
              <w:snapToGrid w:val="0"/>
              <w:rPr>
                <w:rFonts w:ascii="宋体" w:hAnsi="宋体"/>
                <w:szCs w:val="21"/>
                <w:highlight w:val="none"/>
              </w:rPr>
            </w:pPr>
            <w:r>
              <w:rPr>
                <w:rFonts w:ascii="宋体" w:hAnsi="宋体"/>
                <w:szCs w:val="21"/>
                <w:highlight w:val="none"/>
              </w:rPr>
              <w:t>已落实</w:t>
            </w:r>
          </w:p>
        </w:tc>
      </w:tr>
      <w:tr w14:paraId="252DE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7" w:type="pct"/>
            <w:noWrap w:val="0"/>
            <w:vAlign w:val="center"/>
          </w:tcPr>
          <w:p w14:paraId="5D16C2BA">
            <w:pPr>
              <w:adjustRightInd w:val="0"/>
              <w:snapToGrid w:val="0"/>
              <w:jc w:val="center"/>
              <w:rPr>
                <w:rFonts w:ascii="宋体" w:hAnsi="宋体"/>
                <w:szCs w:val="21"/>
                <w:highlight w:val="none"/>
              </w:rPr>
            </w:pPr>
            <w:r>
              <w:rPr>
                <w:rFonts w:ascii="宋体" w:hAnsi="宋体"/>
                <w:szCs w:val="21"/>
                <w:highlight w:val="none"/>
              </w:rPr>
              <w:t>1.3.1</w:t>
            </w:r>
          </w:p>
        </w:tc>
        <w:tc>
          <w:tcPr>
            <w:tcW w:w="1666" w:type="pct"/>
            <w:noWrap w:val="0"/>
            <w:vAlign w:val="center"/>
          </w:tcPr>
          <w:p w14:paraId="5A056C76">
            <w:pPr>
              <w:adjustRightInd w:val="0"/>
              <w:snapToGrid w:val="0"/>
              <w:jc w:val="center"/>
              <w:rPr>
                <w:rFonts w:ascii="宋体" w:hAnsi="宋体"/>
                <w:szCs w:val="21"/>
                <w:highlight w:val="none"/>
              </w:rPr>
            </w:pPr>
            <w:r>
              <w:rPr>
                <w:rFonts w:ascii="宋体" w:hAnsi="宋体"/>
                <w:szCs w:val="21"/>
                <w:highlight w:val="none"/>
              </w:rPr>
              <w:t>招标范围</w:t>
            </w:r>
          </w:p>
        </w:tc>
        <w:tc>
          <w:tcPr>
            <w:tcW w:w="2746" w:type="pct"/>
            <w:gridSpan w:val="2"/>
            <w:noWrap w:val="0"/>
            <w:vAlign w:val="center"/>
          </w:tcPr>
          <w:p w14:paraId="22B98AE5">
            <w:pPr>
              <w:adjustRightInd w:val="0"/>
              <w:snapToGrid w:val="0"/>
              <w:rPr>
                <w:rFonts w:ascii="宋体" w:hAnsi="宋体"/>
                <w:szCs w:val="21"/>
                <w:highlight w:val="none"/>
              </w:rPr>
            </w:pPr>
            <w:r>
              <w:rPr>
                <w:rFonts w:hint="eastAsia" w:ascii="宋体" w:hAnsi="宋体" w:cs="宋体"/>
                <w:szCs w:val="21"/>
                <w:highlight w:val="none"/>
              </w:rPr>
              <w:t>详见招标公告</w:t>
            </w:r>
          </w:p>
        </w:tc>
      </w:tr>
      <w:tr w14:paraId="648B0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24709085">
            <w:pPr>
              <w:adjustRightInd w:val="0"/>
              <w:snapToGrid w:val="0"/>
              <w:jc w:val="center"/>
              <w:rPr>
                <w:rFonts w:ascii="宋体" w:hAnsi="宋体"/>
                <w:szCs w:val="21"/>
                <w:highlight w:val="none"/>
              </w:rPr>
            </w:pPr>
            <w:r>
              <w:rPr>
                <w:rFonts w:ascii="宋体" w:hAnsi="宋体"/>
                <w:szCs w:val="21"/>
                <w:highlight w:val="none"/>
              </w:rPr>
              <w:t>1.3.2</w:t>
            </w:r>
          </w:p>
        </w:tc>
        <w:tc>
          <w:tcPr>
            <w:tcW w:w="1666" w:type="pct"/>
            <w:noWrap w:val="0"/>
            <w:vAlign w:val="center"/>
          </w:tcPr>
          <w:p w14:paraId="40099DFB">
            <w:pPr>
              <w:adjustRightInd w:val="0"/>
              <w:snapToGrid w:val="0"/>
              <w:jc w:val="center"/>
              <w:rPr>
                <w:rFonts w:ascii="宋体" w:hAnsi="宋体"/>
                <w:szCs w:val="21"/>
                <w:highlight w:val="none"/>
              </w:rPr>
            </w:pPr>
            <w:r>
              <w:rPr>
                <w:rFonts w:ascii="宋体" w:hAnsi="宋体"/>
                <w:szCs w:val="21"/>
                <w:highlight w:val="none"/>
              </w:rPr>
              <w:t>服务期限</w:t>
            </w:r>
          </w:p>
        </w:tc>
        <w:tc>
          <w:tcPr>
            <w:tcW w:w="2746" w:type="pct"/>
            <w:gridSpan w:val="2"/>
            <w:noWrap w:val="0"/>
            <w:vAlign w:val="center"/>
          </w:tcPr>
          <w:p w14:paraId="62F6D033">
            <w:pPr>
              <w:adjustRightInd w:val="0"/>
              <w:snapToGrid w:val="0"/>
              <w:rPr>
                <w:rFonts w:ascii="宋体" w:hAnsi="宋体"/>
                <w:szCs w:val="21"/>
                <w:highlight w:val="none"/>
              </w:rPr>
            </w:pPr>
            <w:r>
              <w:rPr>
                <w:rFonts w:hint="eastAsia" w:ascii="宋体" w:hAnsi="宋体"/>
                <w:szCs w:val="21"/>
                <w:highlight w:val="none"/>
              </w:rPr>
              <w:t>详见招标公告</w:t>
            </w:r>
          </w:p>
        </w:tc>
      </w:tr>
      <w:tr w14:paraId="0808F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7" w:type="pct"/>
            <w:noWrap w:val="0"/>
            <w:vAlign w:val="center"/>
          </w:tcPr>
          <w:p w14:paraId="2CE9F6A7">
            <w:pPr>
              <w:adjustRightInd w:val="0"/>
              <w:snapToGrid w:val="0"/>
              <w:jc w:val="center"/>
              <w:rPr>
                <w:rFonts w:ascii="宋体" w:hAnsi="宋体"/>
                <w:szCs w:val="21"/>
                <w:highlight w:val="none"/>
              </w:rPr>
            </w:pPr>
            <w:r>
              <w:rPr>
                <w:rFonts w:ascii="宋体" w:hAnsi="宋体"/>
                <w:szCs w:val="21"/>
                <w:highlight w:val="none"/>
              </w:rPr>
              <w:t>1.3.3</w:t>
            </w:r>
          </w:p>
        </w:tc>
        <w:tc>
          <w:tcPr>
            <w:tcW w:w="1666" w:type="pct"/>
            <w:noWrap w:val="0"/>
            <w:vAlign w:val="center"/>
          </w:tcPr>
          <w:p w14:paraId="30A463E1">
            <w:pPr>
              <w:adjustRightInd w:val="0"/>
              <w:snapToGrid w:val="0"/>
              <w:jc w:val="center"/>
              <w:rPr>
                <w:rFonts w:ascii="宋体" w:hAnsi="宋体"/>
                <w:szCs w:val="21"/>
                <w:highlight w:val="none"/>
              </w:rPr>
            </w:pPr>
            <w:r>
              <w:rPr>
                <w:rFonts w:ascii="宋体" w:hAnsi="宋体"/>
                <w:szCs w:val="21"/>
                <w:highlight w:val="none"/>
              </w:rPr>
              <w:t>质量要求</w:t>
            </w:r>
          </w:p>
        </w:tc>
        <w:tc>
          <w:tcPr>
            <w:tcW w:w="2746" w:type="pct"/>
            <w:gridSpan w:val="2"/>
            <w:noWrap w:val="0"/>
            <w:vAlign w:val="center"/>
          </w:tcPr>
          <w:p w14:paraId="586107EC">
            <w:pPr>
              <w:adjustRightInd w:val="0"/>
              <w:snapToGrid w:val="0"/>
              <w:rPr>
                <w:rFonts w:hint="eastAsia" w:ascii="宋体" w:hAnsi="宋体" w:eastAsia="宋体"/>
                <w:szCs w:val="21"/>
                <w:highlight w:val="none"/>
                <w:lang w:eastAsia="zh-CN"/>
              </w:rPr>
            </w:pPr>
            <w:r>
              <w:rPr>
                <w:rFonts w:hint="eastAsia" w:ascii="宋体" w:hAnsi="宋体"/>
                <w:szCs w:val="21"/>
                <w:highlight w:val="none"/>
              </w:rPr>
              <w:t>所有成果文件必须满足相关规范要求，且成果须通过市级审查</w:t>
            </w:r>
            <w:r>
              <w:rPr>
                <w:rFonts w:hint="eastAsia" w:ascii="宋体" w:hAnsi="宋体"/>
                <w:szCs w:val="21"/>
                <w:highlight w:val="none"/>
                <w:lang w:eastAsia="zh-CN"/>
              </w:rPr>
              <w:t>。</w:t>
            </w:r>
          </w:p>
        </w:tc>
      </w:tr>
      <w:tr w14:paraId="6718C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191C91C3">
            <w:pPr>
              <w:adjustRightInd w:val="0"/>
              <w:snapToGrid w:val="0"/>
              <w:jc w:val="center"/>
              <w:rPr>
                <w:rFonts w:ascii="宋体" w:hAnsi="宋体"/>
                <w:szCs w:val="21"/>
                <w:highlight w:val="none"/>
              </w:rPr>
            </w:pPr>
            <w:r>
              <w:rPr>
                <w:rFonts w:ascii="宋体" w:hAnsi="宋体"/>
                <w:szCs w:val="21"/>
                <w:highlight w:val="none"/>
              </w:rPr>
              <w:t>1.3.4</w:t>
            </w:r>
          </w:p>
        </w:tc>
        <w:tc>
          <w:tcPr>
            <w:tcW w:w="1666" w:type="pct"/>
            <w:noWrap w:val="0"/>
            <w:vAlign w:val="center"/>
          </w:tcPr>
          <w:p w14:paraId="72A45FBB">
            <w:pPr>
              <w:adjustRightInd w:val="0"/>
              <w:snapToGrid w:val="0"/>
              <w:jc w:val="center"/>
              <w:rPr>
                <w:rFonts w:ascii="宋体" w:hAnsi="宋体"/>
                <w:szCs w:val="21"/>
                <w:highlight w:val="none"/>
              </w:rPr>
            </w:pPr>
            <w:r>
              <w:rPr>
                <w:rFonts w:ascii="宋体" w:hAnsi="宋体"/>
                <w:szCs w:val="21"/>
                <w:highlight w:val="none"/>
              </w:rPr>
              <w:t>安全目标</w:t>
            </w:r>
          </w:p>
        </w:tc>
        <w:tc>
          <w:tcPr>
            <w:tcW w:w="2746" w:type="pct"/>
            <w:gridSpan w:val="2"/>
            <w:noWrap w:val="0"/>
            <w:vAlign w:val="center"/>
          </w:tcPr>
          <w:p w14:paraId="19E13EA8">
            <w:pPr>
              <w:adjustRightInd w:val="0"/>
              <w:snapToGrid w:val="0"/>
              <w:rPr>
                <w:rFonts w:ascii="宋体" w:hAnsi="宋体"/>
                <w:szCs w:val="21"/>
                <w:highlight w:val="none"/>
              </w:rPr>
            </w:pPr>
            <w:r>
              <w:rPr>
                <w:rFonts w:ascii="宋体" w:hAnsi="宋体"/>
                <w:szCs w:val="21"/>
                <w:highlight w:val="none"/>
              </w:rPr>
              <w:t>安全无</w:t>
            </w:r>
            <w:r>
              <w:rPr>
                <w:rFonts w:hint="eastAsia" w:ascii="宋体" w:hAnsi="宋体"/>
                <w:szCs w:val="21"/>
                <w:highlight w:val="none"/>
              </w:rPr>
              <w:t>责任</w:t>
            </w:r>
            <w:r>
              <w:rPr>
                <w:rFonts w:ascii="宋体" w:hAnsi="宋体"/>
                <w:szCs w:val="21"/>
                <w:highlight w:val="none"/>
              </w:rPr>
              <w:t>事故</w:t>
            </w:r>
          </w:p>
        </w:tc>
      </w:tr>
      <w:tr w14:paraId="6CD85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1627D485">
            <w:pPr>
              <w:adjustRightInd w:val="0"/>
              <w:snapToGrid w:val="0"/>
              <w:jc w:val="center"/>
              <w:rPr>
                <w:rFonts w:ascii="宋体" w:hAnsi="宋体"/>
                <w:szCs w:val="21"/>
                <w:highlight w:val="none"/>
              </w:rPr>
            </w:pPr>
            <w:r>
              <w:rPr>
                <w:rFonts w:ascii="宋体" w:hAnsi="宋体"/>
                <w:szCs w:val="21"/>
                <w:highlight w:val="none"/>
              </w:rPr>
              <w:t>1.4.1</w:t>
            </w:r>
          </w:p>
        </w:tc>
        <w:tc>
          <w:tcPr>
            <w:tcW w:w="1666" w:type="pct"/>
            <w:noWrap w:val="0"/>
            <w:vAlign w:val="center"/>
          </w:tcPr>
          <w:p w14:paraId="44FDBB11">
            <w:pPr>
              <w:adjustRightInd w:val="0"/>
              <w:snapToGrid w:val="0"/>
              <w:jc w:val="center"/>
              <w:rPr>
                <w:rFonts w:ascii="宋体" w:hAnsi="宋体"/>
                <w:szCs w:val="21"/>
                <w:highlight w:val="none"/>
              </w:rPr>
            </w:pPr>
            <w:r>
              <w:rPr>
                <w:rFonts w:ascii="宋体" w:hAnsi="宋体"/>
                <w:szCs w:val="21"/>
                <w:highlight w:val="none"/>
              </w:rPr>
              <w:t>投标人资质条件、能力和信誉</w:t>
            </w:r>
          </w:p>
        </w:tc>
        <w:tc>
          <w:tcPr>
            <w:tcW w:w="2746" w:type="pct"/>
            <w:gridSpan w:val="2"/>
            <w:noWrap w:val="0"/>
            <w:vAlign w:val="center"/>
          </w:tcPr>
          <w:p w14:paraId="7B536510">
            <w:pPr>
              <w:adjustRightInd w:val="0"/>
              <w:snapToGrid w:val="0"/>
              <w:rPr>
                <w:rFonts w:ascii="宋体" w:hAnsi="宋体"/>
                <w:szCs w:val="21"/>
                <w:highlight w:val="none"/>
              </w:rPr>
            </w:pPr>
            <w:r>
              <w:rPr>
                <w:rFonts w:hint="eastAsia" w:ascii="宋体" w:hAnsi="宋体"/>
                <w:szCs w:val="21"/>
                <w:highlight w:val="none"/>
              </w:rPr>
              <w:t>详见招标公告</w:t>
            </w:r>
          </w:p>
        </w:tc>
      </w:tr>
      <w:tr w14:paraId="6ADE0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24F20E66">
            <w:pPr>
              <w:adjustRightInd w:val="0"/>
              <w:snapToGrid w:val="0"/>
              <w:jc w:val="center"/>
              <w:rPr>
                <w:rFonts w:ascii="宋体" w:hAnsi="宋体"/>
                <w:szCs w:val="21"/>
                <w:highlight w:val="none"/>
              </w:rPr>
            </w:pPr>
            <w:r>
              <w:rPr>
                <w:rFonts w:ascii="宋体" w:hAnsi="宋体"/>
                <w:szCs w:val="21"/>
                <w:highlight w:val="none"/>
              </w:rPr>
              <w:t>1.4.2</w:t>
            </w:r>
          </w:p>
        </w:tc>
        <w:tc>
          <w:tcPr>
            <w:tcW w:w="1666" w:type="pct"/>
            <w:noWrap w:val="0"/>
            <w:vAlign w:val="center"/>
          </w:tcPr>
          <w:p w14:paraId="1B6F13DB">
            <w:pPr>
              <w:adjustRightInd w:val="0"/>
              <w:snapToGrid w:val="0"/>
              <w:jc w:val="center"/>
              <w:rPr>
                <w:rFonts w:ascii="宋体" w:hAnsi="宋体"/>
                <w:szCs w:val="21"/>
                <w:highlight w:val="none"/>
              </w:rPr>
            </w:pPr>
            <w:r>
              <w:rPr>
                <w:rFonts w:ascii="宋体" w:hAnsi="宋体"/>
                <w:szCs w:val="21"/>
                <w:highlight w:val="none"/>
              </w:rPr>
              <w:t>是否接受联合体投标</w:t>
            </w:r>
          </w:p>
        </w:tc>
        <w:tc>
          <w:tcPr>
            <w:tcW w:w="2746" w:type="pct"/>
            <w:gridSpan w:val="2"/>
            <w:noWrap w:val="0"/>
            <w:vAlign w:val="center"/>
          </w:tcPr>
          <w:p w14:paraId="4D1906AD">
            <w:pPr>
              <w:adjustRightInd w:val="0"/>
              <w:snapToGrid w:val="0"/>
              <w:rPr>
                <w:rFonts w:ascii="宋体" w:hAnsi="宋体"/>
                <w:szCs w:val="21"/>
                <w:highlight w:val="none"/>
              </w:rPr>
            </w:pPr>
            <w:r>
              <w:rPr>
                <w:rFonts w:ascii="宋体" w:hAnsi="宋体"/>
                <w:szCs w:val="21"/>
                <w:highlight w:val="none"/>
              </w:rPr>
              <w:fldChar w:fldCharType="begin"/>
            </w:r>
            <w:r>
              <w:rPr>
                <w:rFonts w:ascii="宋体" w:hAnsi="宋体"/>
                <w:szCs w:val="21"/>
                <w:highlight w:val="none"/>
              </w:rPr>
              <w:instrText xml:space="preserve"> </w:instrText>
            </w:r>
            <w:r>
              <w:rPr>
                <w:rFonts w:hint="eastAsia" w:ascii="宋体" w:hAnsi="宋体"/>
                <w:szCs w:val="21"/>
                <w:highlight w:val="none"/>
              </w:rPr>
              <w:instrText xml:space="preserve">eq \o\ac(□</w:instrText>
            </w:r>
            <w:r>
              <w:rPr>
                <w:rFonts w:hint="eastAsia" w:ascii="宋体" w:hAnsi="宋体"/>
                <w:szCs w:val="21"/>
                <w:highlight w:val="none"/>
                <w:lang w:eastAsia="zh-CN"/>
              </w:rPr>
              <w:instrText xml:space="preserve">,</w:instrText>
            </w:r>
            <w:r>
              <w:rPr>
                <w:rFonts w:hint="eastAsia" w:ascii="宋体" w:hAnsi="宋体"/>
                <w:position w:val="2"/>
                <w:sz w:val="13"/>
                <w:szCs w:val="21"/>
                <w:highlight w:val="none"/>
                <w:lang w:eastAsia="zh-CN"/>
              </w:rPr>
              <w:instrText xml:space="preserve">√</w:instrText>
            </w:r>
            <w:r>
              <w:rPr>
                <w:rFonts w:hint="eastAsia" w:ascii="宋体" w:hAnsi="宋体"/>
                <w:szCs w:val="21"/>
                <w:highlight w:val="none"/>
              </w:rPr>
              <w:instrText xml:space="preserve">)</w:instrText>
            </w:r>
            <w:r>
              <w:rPr>
                <w:rFonts w:ascii="宋体" w:hAnsi="宋体"/>
                <w:szCs w:val="21"/>
                <w:highlight w:val="none"/>
              </w:rPr>
              <w:fldChar w:fldCharType="end"/>
            </w:r>
            <w:r>
              <w:rPr>
                <w:rFonts w:ascii="宋体" w:hAnsi="宋体"/>
                <w:szCs w:val="21"/>
                <w:highlight w:val="none"/>
              </w:rPr>
              <w:t>不接受</w:t>
            </w:r>
          </w:p>
          <w:p w14:paraId="7B8F7C95">
            <w:pPr>
              <w:adjustRightInd w:val="0"/>
              <w:snapToGrid w:val="0"/>
              <w:rPr>
                <w:rFonts w:hint="eastAsia" w:ascii="宋体" w:hAnsi="宋体" w:eastAsia="宋体"/>
                <w:szCs w:val="21"/>
                <w:highlight w:val="none"/>
                <w:lang w:val="en-US" w:eastAsia="zh-CN"/>
              </w:rPr>
            </w:pPr>
            <w:r>
              <w:rPr>
                <w:rFonts w:hint="eastAsia" w:ascii="宋体" w:hAnsi="宋体" w:cs="宋体"/>
                <w:szCs w:val="21"/>
                <w:highlight w:val="none"/>
              </w:rPr>
              <w:fldChar w:fldCharType="begin"/>
            </w:r>
            <w:r>
              <w:rPr>
                <w:rFonts w:hint="eastAsia" w:ascii="宋体" w:hAnsi="宋体" w:cs="宋体"/>
                <w:szCs w:val="21"/>
                <w:highlight w:val="none"/>
              </w:rPr>
              <w:instrText xml:space="preserve"> eq \o\ac(□,×)</w:instrText>
            </w:r>
            <w:r>
              <w:rPr>
                <w:rFonts w:hint="eastAsia" w:ascii="宋体" w:hAnsi="宋体" w:cs="宋体"/>
                <w:szCs w:val="21"/>
                <w:highlight w:val="none"/>
              </w:rPr>
              <w:fldChar w:fldCharType="end"/>
            </w:r>
            <w:r>
              <w:rPr>
                <w:rFonts w:ascii="宋体" w:hAnsi="宋体"/>
                <w:szCs w:val="21"/>
                <w:highlight w:val="none"/>
              </w:rPr>
              <w:t>接受</w:t>
            </w:r>
            <w:r>
              <w:rPr>
                <w:rFonts w:hint="eastAsia" w:ascii="宋体" w:hAnsi="宋体"/>
                <w:szCs w:val="21"/>
                <w:highlight w:val="none"/>
              </w:rPr>
              <w:t>，应满足下列要求：</w:t>
            </w:r>
            <w:r>
              <w:rPr>
                <w:rFonts w:hint="eastAsia" w:ascii="宋体" w:hAnsi="宋体"/>
                <w:szCs w:val="21"/>
                <w:highlight w:val="none"/>
                <w:u w:val="single"/>
                <w:lang w:val="en-US" w:eastAsia="zh-CN"/>
              </w:rPr>
              <w:t>/</w:t>
            </w:r>
            <w:r>
              <w:rPr>
                <w:rFonts w:hint="eastAsia" w:ascii="宋体" w:hAnsi="宋体"/>
                <w:szCs w:val="21"/>
                <w:highlight w:val="none"/>
                <w:lang w:val="en-US" w:eastAsia="zh-CN"/>
              </w:rPr>
              <w:t>。</w:t>
            </w:r>
          </w:p>
        </w:tc>
      </w:tr>
      <w:tr w14:paraId="1E154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22CA67D7">
            <w:pPr>
              <w:adjustRightInd w:val="0"/>
              <w:snapToGrid w:val="0"/>
              <w:jc w:val="center"/>
              <w:rPr>
                <w:rFonts w:ascii="宋体" w:hAnsi="宋体"/>
                <w:szCs w:val="21"/>
                <w:highlight w:val="none"/>
              </w:rPr>
            </w:pPr>
            <w:r>
              <w:rPr>
                <w:rFonts w:ascii="宋体" w:hAnsi="宋体"/>
                <w:szCs w:val="21"/>
                <w:highlight w:val="none"/>
              </w:rPr>
              <w:t>1.4.3</w:t>
            </w:r>
          </w:p>
        </w:tc>
        <w:tc>
          <w:tcPr>
            <w:tcW w:w="1666" w:type="pct"/>
            <w:noWrap w:val="0"/>
            <w:vAlign w:val="center"/>
          </w:tcPr>
          <w:p w14:paraId="2B3E1205">
            <w:pPr>
              <w:adjustRightInd w:val="0"/>
              <w:snapToGrid w:val="0"/>
              <w:jc w:val="center"/>
              <w:rPr>
                <w:rFonts w:ascii="宋体" w:hAnsi="宋体"/>
                <w:szCs w:val="21"/>
                <w:highlight w:val="none"/>
              </w:rPr>
            </w:pPr>
            <w:r>
              <w:rPr>
                <w:rFonts w:ascii="宋体" w:hAnsi="宋体"/>
                <w:szCs w:val="21"/>
                <w:highlight w:val="none"/>
              </w:rPr>
              <w:t>投标人不得存在的其他关联情形</w:t>
            </w:r>
          </w:p>
        </w:tc>
        <w:tc>
          <w:tcPr>
            <w:tcW w:w="2746" w:type="pct"/>
            <w:gridSpan w:val="2"/>
            <w:noWrap w:val="0"/>
            <w:vAlign w:val="center"/>
          </w:tcPr>
          <w:p w14:paraId="1B922726">
            <w:pPr>
              <w:adjustRightInd w:val="0"/>
              <w:snapToGrid w:val="0"/>
              <w:rPr>
                <w:rFonts w:ascii="宋体" w:hAnsi="宋体"/>
                <w:szCs w:val="21"/>
                <w:highlight w:val="none"/>
              </w:rPr>
            </w:pPr>
            <w:r>
              <w:rPr>
                <w:rFonts w:ascii="宋体" w:hAnsi="宋体"/>
                <w:szCs w:val="21"/>
                <w:highlight w:val="none"/>
              </w:rPr>
              <w:t>/</w:t>
            </w:r>
          </w:p>
        </w:tc>
      </w:tr>
      <w:tr w14:paraId="59817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468C2B9F">
            <w:pPr>
              <w:adjustRightInd w:val="0"/>
              <w:snapToGrid w:val="0"/>
              <w:jc w:val="center"/>
              <w:rPr>
                <w:rFonts w:ascii="宋体" w:hAnsi="宋体"/>
                <w:szCs w:val="21"/>
                <w:highlight w:val="none"/>
              </w:rPr>
            </w:pPr>
            <w:r>
              <w:rPr>
                <w:rFonts w:ascii="宋体" w:hAnsi="宋体"/>
                <w:szCs w:val="21"/>
                <w:highlight w:val="none"/>
              </w:rPr>
              <w:t>1.4.4</w:t>
            </w:r>
          </w:p>
        </w:tc>
        <w:tc>
          <w:tcPr>
            <w:tcW w:w="1666" w:type="pct"/>
            <w:noWrap w:val="0"/>
            <w:vAlign w:val="center"/>
          </w:tcPr>
          <w:p w14:paraId="5DF86B2E">
            <w:pPr>
              <w:adjustRightInd w:val="0"/>
              <w:snapToGrid w:val="0"/>
              <w:jc w:val="center"/>
              <w:rPr>
                <w:rFonts w:ascii="宋体" w:hAnsi="宋体"/>
                <w:szCs w:val="21"/>
                <w:highlight w:val="none"/>
              </w:rPr>
            </w:pPr>
            <w:r>
              <w:rPr>
                <w:rFonts w:ascii="宋体" w:hAnsi="宋体"/>
                <w:szCs w:val="21"/>
                <w:highlight w:val="none"/>
              </w:rPr>
              <w:t>投标人不得存在的其他不良状况或不良信用记录</w:t>
            </w:r>
          </w:p>
        </w:tc>
        <w:tc>
          <w:tcPr>
            <w:tcW w:w="2746" w:type="pct"/>
            <w:gridSpan w:val="2"/>
            <w:noWrap w:val="0"/>
            <w:vAlign w:val="center"/>
          </w:tcPr>
          <w:p w14:paraId="69A03C6F">
            <w:pPr>
              <w:adjustRightInd w:val="0"/>
              <w:snapToGrid w:val="0"/>
              <w:rPr>
                <w:rFonts w:ascii="宋体" w:hAnsi="宋体"/>
                <w:szCs w:val="21"/>
                <w:highlight w:val="none"/>
              </w:rPr>
            </w:pPr>
            <w:r>
              <w:rPr>
                <w:rFonts w:ascii="宋体" w:hAnsi="宋体"/>
                <w:szCs w:val="21"/>
                <w:highlight w:val="none"/>
              </w:rPr>
              <w:t>/</w:t>
            </w:r>
          </w:p>
        </w:tc>
      </w:tr>
      <w:tr w14:paraId="067DC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vMerge w:val="restart"/>
            <w:noWrap w:val="0"/>
            <w:vAlign w:val="center"/>
          </w:tcPr>
          <w:p w14:paraId="45B20881">
            <w:pPr>
              <w:adjustRightInd w:val="0"/>
              <w:snapToGrid w:val="0"/>
              <w:jc w:val="center"/>
              <w:rPr>
                <w:rFonts w:ascii="宋体" w:hAnsi="宋体"/>
                <w:szCs w:val="21"/>
                <w:highlight w:val="none"/>
              </w:rPr>
            </w:pPr>
            <w:r>
              <w:rPr>
                <w:rFonts w:ascii="宋体" w:hAnsi="宋体"/>
                <w:szCs w:val="21"/>
                <w:highlight w:val="none"/>
              </w:rPr>
              <w:t>1.10.2</w:t>
            </w:r>
          </w:p>
        </w:tc>
        <w:tc>
          <w:tcPr>
            <w:tcW w:w="1666" w:type="pct"/>
            <w:vMerge w:val="restart"/>
            <w:noWrap w:val="0"/>
            <w:vAlign w:val="center"/>
          </w:tcPr>
          <w:p w14:paraId="715B44E4">
            <w:pPr>
              <w:adjustRightInd w:val="0"/>
              <w:snapToGrid w:val="0"/>
              <w:jc w:val="center"/>
              <w:rPr>
                <w:rFonts w:ascii="宋体" w:hAnsi="宋体"/>
                <w:szCs w:val="21"/>
                <w:highlight w:val="none"/>
              </w:rPr>
            </w:pPr>
            <w:r>
              <w:rPr>
                <w:rFonts w:ascii="宋体" w:hAnsi="宋体"/>
                <w:szCs w:val="21"/>
                <w:highlight w:val="none"/>
              </w:rPr>
              <w:t>投标人在投标预备会前提出问题</w:t>
            </w:r>
          </w:p>
        </w:tc>
        <w:tc>
          <w:tcPr>
            <w:tcW w:w="2746" w:type="pct"/>
            <w:gridSpan w:val="2"/>
            <w:noWrap w:val="0"/>
            <w:vAlign w:val="center"/>
          </w:tcPr>
          <w:p w14:paraId="6F99A4B3">
            <w:pPr>
              <w:adjustRightInd w:val="0"/>
              <w:snapToGrid w:val="0"/>
              <w:rPr>
                <w:rFonts w:hint="eastAsia" w:ascii="宋体" w:hAnsi="宋体" w:eastAsia="宋体"/>
                <w:szCs w:val="21"/>
                <w:highlight w:val="none"/>
                <w:lang w:eastAsia="zh-CN"/>
              </w:rPr>
            </w:pPr>
            <w:r>
              <w:rPr>
                <w:rFonts w:ascii="宋体" w:hAnsi="宋体"/>
                <w:szCs w:val="21"/>
                <w:highlight w:val="none"/>
              </w:rPr>
              <w:t>时间：不召开</w:t>
            </w:r>
            <w:r>
              <w:rPr>
                <w:rFonts w:hint="eastAsia" w:ascii="宋体" w:hAnsi="宋体"/>
                <w:szCs w:val="21"/>
                <w:highlight w:val="none"/>
                <w:lang w:eastAsia="zh-CN"/>
              </w:rPr>
              <w:t>。</w:t>
            </w:r>
          </w:p>
        </w:tc>
      </w:tr>
      <w:tr w14:paraId="4B6C4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vMerge w:val="continue"/>
            <w:noWrap w:val="0"/>
            <w:vAlign w:val="center"/>
          </w:tcPr>
          <w:p w14:paraId="14F7AD9E">
            <w:pPr>
              <w:adjustRightInd w:val="0"/>
              <w:snapToGrid w:val="0"/>
              <w:jc w:val="center"/>
              <w:rPr>
                <w:rFonts w:ascii="宋体" w:hAnsi="宋体"/>
                <w:szCs w:val="21"/>
                <w:highlight w:val="none"/>
              </w:rPr>
            </w:pPr>
          </w:p>
        </w:tc>
        <w:tc>
          <w:tcPr>
            <w:tcW w:w="1666" w:type="pct"/>
            <w:vMerge w:val="continue"/>
            <w:noWrap w:val="0"/>
            <w:vAlign w:val="center"/>
          </w:tcPr>
          <w:p w14:paraId="2003ED1A">
            <w:pPr>
              <w:adjustRightInd w:val="0"/>
              <w:snapToGrid w:val="0"/>
              <w:jc w:val="center"/>
              <w:rPr>
                <w:rFonts w:ascii="宋体" w:hAnsi="宋体"/>
                <w:szCs w:val="21"/>
                <w:highlight w:val="none"/>
              </w:rPr>
            </w:pPr>
          </w:p>
        </w:tc>
        <w:tc>
          <w:tcPr>
            <w:tcW w:w="2746" w:type="pct"/>
            <w:gridSpan w:val="2"/>
            <w:noWrap w:val="0"/>
            <w:vAlign w:val="center"/>
          </w:tcPr>
          <w:p w14:paraId="0E92B380">
            <w:pPr>
              <w:adjustRightInd w:val="0"/>
              <w:snapToGrid w:val="0"/>
              <w:rPr>
                <w:rFonts w:hint="eastAsia" w:ascii="宋体" w:hAnsi="宋体" w:eastAsia="宋体"/>
                <w:szCs w:val="21"/>
                <w:highlight w:val="none"/>
                <w:lang w:eastAsia="zh-CN"/>
              </w:rPr>
            </w:pPr>
            <w:r>
              <w:rPr>
                <w:rFonts w:ascii="宋体" w:hAnsi="宋体"/>
                <w:szCs w:val="21"/>
                <w:highlight w:val="none"/>
              </w:rPr>
              <w:t>形式：不召开</w:t>
            </w:r>
            <w:r>
              <w:rPr>
                <w:rFonts w:hint="eastAsia" w:ascii="宋体" w:hAnsi="宋体"/>
                <w:szCs w:val="21"/>
                <w:highlight w:val="none"/>
                <w:lang w:eastAsia="zh-CN"/>
              </w:rPr>
              <w:t>。</w:t>
            </w:r>
          </w:p>
        </w:tc>
      </w:tr>
      <w:tr w14:paraId="2C6E2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7" w:type="pct"/>
            <w:noWrap w:val="0"/>
            <w:vAlign w:val="center"/>
          </w:tcPr>
          <w:p w14:paraId="7D41DC0E">
            <w:pPr>
              <w:adjustRightInd w:val="0"/>
              <w:snapToGrid w:val="0"/>
              <w:jc w:val="center"/>
              <w:rPr>
                <w:rFonts w:ascii="宋体" w:hAnsi="宋体"/>
                <w:szCs w:val="21"/>
                <w:highlight w:val="none"/>
              </w:rPr>
            </w:pPr>
            <w:r>
              <w:rPr>
                <w:rFonts w:ascii="宋体" w:hAnsi="宋体"/>
                <w:szCs w:val="21"/>
                <w:highlight w:val="none"/>
              </w:rPr>
              <w:t>1.11.1</w:t>
            </w:r>
          </w:p>
        </w:tc>
        <w:tc>
          <w:tcPr>
            <w:tcW w:w="1666" w:type="pct"/>
            <w:noWrap w:val="0"/>
            <w:vAlign w:val="center"/>
          </w:tcPr>
          <w:p w14:paraId="05937D6A">
            <w:pPr>
              <w:adjustRightInd w:val="0"/>
              <w:snapToGrid w:val="0"/>
              <w:jc w:val="center"/>
              <w:rPr>
                <w:rFonts w:ascii="宋体" w:hAnsi="宋体"/>
                <w:szCs w:val="21"/>
                <w:highlight w:val="none"/>
              </w:rPr>
            </w:pPr>
            <w:r>
              <w:rPr>
                <w:rFonts w:ascii="宋体" w:hAnsi="宋体"/>
                <w:szCs w:val="21"/>
                <w:highlight w:val="none"/>
              </w:rPr>
              <w:t>分  包</w:t>
            </w:r>
          </w:p>
        </w:tc>
        <w:tc>
          <w:tcPr>
            <w:tcW w:w="2746" w:type="pct"/>
            <w:gridSpan w:val="2"/>
            <w:noWrap w:val="0"/>
            <w:vAlign w:val="center"/>
          </w:tcPr>
          <w:p w14:paraId="3D1B6728">
            <w:pPr>
              <w:adjustRightInd w:val="0"/>
              <w:snapToGrid w:val="0"/>
              <w:rPr>
                <w:rFonts w:ascii="宋体" w:hAnsi="宋体"/>
                <w:szCs w:val="21"/>
                <w:highlight w:val="none"/>
              </w:rPr>
            </w:pPr>
            <w:r>
              <w:rPr>
                <w:rFonts w:ascii="宋体" w:hAnsi="宋体"/>
                <w:szCs w:val="21"/>
                <w:highlight w:val="none"/>
              </w:rPr>
              <w:fldChar w:fldCharType="begin"/>
            </w:r>
            <w:r>
              <w:rPr>
                <w:rFonts w:ascii="宋体" w:hAnsi="宋体"/>
                <w:szCs w:val="21"/>
                <w:highlight w:val="none"/>
              </w:rPr>
              <w:instrText xml:space="preserve"> </w:instrText>
            </w:r>
            <w:r>
              <w:rPr>
                <w:rFonts w:hint="eastAsia" w:ascii="宋体" w:hAnsi="宋体"/>
                <w:szCs w:val="21"/>
                <w:highlight w:val="none"/>
              </w:rPr>
              <w:instrText xml:space="preserve">eq \o\ac(□,</w:instrText>
            </w:r>
            <w:r>
              <w:rPr>
                <w:rFonts w:hint="eastAsia" w:ascii="宋体" w:hAnsi="宋体"/>
                <w:position w:val="1"/>
                <w:szCs w:val="21"/>
                <w:highlight w:val="none"/>
              </w:rPr>
              <w:instrText xml:space="preserve">√</w:instrText>
            </w:r>
            <w:r>
              <w:rPr>
                <w:rFonts w:hint="eastAsia" w:ascii="宋体" w:hAnsi="宋体"/>
                <w:szCs w:val="21"/>
                <w:highlight w:val="none"/>
              </w:rPr>
              <w:instrText xml:space="preserve">)</w:instrText>
            </w:r>
            <w:r>
              <w:rPr>
                <w:rFonts w:ascii="宋体" w:hAnsi="宋体"/>
                <w:szCs w:val="21"/>
                <w:highlight w:val="none"/>
              </w:rPr>
              <w:fldChar w:fldCharType="end"/>
            </w:r>
            <w:r>
              <w:rPr>
                <w:rFonts w:ascii="宋体" w:hAnsi="宋体"/>
                <w:szCs w:val="21"/>
                <w:highlight w:val="none"/>
              </w:rPr>
              <w:t>不允许</w:t>
            </w:r>
          </w:p>
          <w:p w14:paraId="6B506A83">
            <w:pPr>
              <w:adjustRightInd w:val="0"/>
              <w:snapToGrid w:val="0"/>
              <w:rPr>
                <w:highlight w:val="none"/>
              </w:rPr>
            </w:pPr>
            <w:r>
              <w:rPr>
                <w:rFonts w:hint="eastAsia" w:ascii="宋体" w:hAnsi="宋体" w:cs="宋体"/>
                <w:szCs w:val="21"/>
                <w:highlight w:val="none"/>
              </w:rPr>
              <w:fldChar w:fldCharType="begin"/>
            </w:r>
            <w:r>
              <w:rPr>
                <w:rFonts w:hint="eastAsia" w:ascii="宋体" w:hAnsi="宋体" w:cs="宋体"/>
                <w:szCs w:val="21"/>
                <w:highlight w:val="none"/>
              </w:rPr>
              <w:instrText xml:space="preserve"> eq \o\ac(□,×)</w:instrText>
            </w:r>
            <w:r>
              <w:rPr>
                <w:rFonts w:hint="eastAsia" w:ascii="宋体" w:hAnsi="宋体" w:cs="宋体"/>
                <w:szCs w:val="21"/>
                <w:highlight w:val="none"/>
              </w:rPr>
              <w:fldChar w:fldCharType="end"/>
            </w:r>
            <w:r>
              <w:rPr>
                <w:rFonts w:ascii="宋体" w:hAnsi="宋体"/>
                <w:szCs w:val="21"/>
                <w:highlight w:val="none"/>
              </w:rPr>
              <w:t>允许</w:t>
            </w:r>
          </w:p>
        </w:tc>
      </w:tr>
      <w:tr w14:paraId="70491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513C2623">
            <w:pPr>
              <w:adjustRightInd w:val="0"/>
              <w:snapToGrid w:val="0"/>
              <w:jc w:val="center"/>
              <w:rPr>
                <w:rFonts w:ascii="宋体" w:hAnsi="宋体"/>
                <w:szCs w:val="21"/>
                <w:highlight w:val="none"/>
              </w:rPr>
            </w:pPr>
            <w:r>
              <w:rPr>
                <w:rFonts w:ascii="宋体" w:hAnsi="宋体"/>
                <w:szCs w:val="21"/>
                <w:highlight w:val="none"/>
              </w:rPr>
              <w:t>2.1</w:t>
            </w:r>
          </w:p>
        </w:tc>
        <w:tc>
          <w:tcPr>
            <w:tcW w:w="1666" w:type="pct"/>
            <w:noWrap w:val="0"/>
            <w:vAlign w:val="center"/>
          </w:tcPr>
          <w:p w14:paraId="657924AD">
            <w:pPr>
              <w:adjustRightInd w:val="0"/>
              <w:snapToGrid w:val="0"/>
              <w:jc w:val="center"/>
              <w:rPr>
                <w:rFonts w:ascii="宋体" w:hAnsi="宋体"/>
                <w:szCs w:val="21"/>
                <w:highlight w:val="none"/>
              </w:rPr>
            </w:pPr>
            <w:r>
              <w:rPr>
                <w:rFonts w:ascii="宋体" w:hAnsi="宋体"/>
                <w:szCs w:val="21"/>
                <w:highlight w:val="none"/>
              </w:rPr>
              <w:t>构成招标文件的其他材料</w:t>
            </w:r>
          </w:p>
        </w:tc>
        <w:tc>
          <w:tcPr>
            <w:tcW w:w="2746" w:type="pct"/>
            <w:gridSpan w:val="2"/>
            <w:noWrap w:val="0"/>
            <w:vAlign w:val="center"/>
          </w:tcPr>
          <w:p w14:paraId="36D6CE69">
            <w:pPr>
              <w:adjustRightInd w:val="0"/>
              <w:snapToGrid w:val="0"/>
              <w:rPr>
                <w:rFonts w:hint="eastAsia" w:ascii="宋体" w:hAnsi="宋体"/>
                <w:szCs w:val="21"/>
                <w:highlight w:val="none"/>
              </w:rPr>
            </w:pPr>
            <w:r>
              <w:rPr>
                <w:rFonts w:hint="eastAsia" w:ascii="宋体" w:hAnsi="宋体"/>
                <w:szCs w:val="21"/>
                <w:highlight w:val="none"/>
              </w:rPr>
              <w:t>附件1：省交通运输厅关于印发《江苏省公路水运建设市场信用信息管理办法》的通知（苏交规〔2024〕6号）</w:t>
            </w:r>
          </w:p>
          <w:p w14:paraId="1B3C843D">
            <w:pPr>
              <w:adjustRightInd w:val="0"/>
              <w:snapToGrid w:val="0"/>
              <w:rPr>
                <w:rFonts w:hint="eastAsia" w:ascii="宋体" w:hAnsi="宋体"/>
                <w:szCs w:val="21"/>
                <w:highlight w:val="none"/>
              </w:rPr>
            </w:pPr>
            <w:r>
              <w:rPr>
                <w:rFonts w:hint="eastAsia" w:ascii="宋体" w:hAnsi="宋体"/>
                <w:szCs w:val="21"/>
                <w:highlight w:val="none"/>
              </w:rPr>
              <w:t>附件2：《公路工程建设项目招标投标管理办法》（中华人民共和国交通运输部令2015年第24号）</w:t>
            </w:r>
          </w:p>
          <w:p w14:paraId="6B559436">
            <w:pPr>
              <w:adjustRightInd w:val="0"/>
              <w:snapToGrid w:val="0"/>
              <w:rPr>
                <w:rFonts w:hint="eastAsia"/>
                <w:highlight w:val="none"/>
              </w:rPr>
            </w:pPr>
            <w:r>
              <w:rPr>
                <w:rFonts w:hint="eastAsia" w:ascii="宋体" w:hAnsi="宋体"/>
                <w:szCs w:val="21"/>
                <w:highlight w:val="none"/>
              </w:rPr>
              <w:t>附件</w:t>
            </w:r>
            <w:r>
              <w:rPr>
                <w:rFonts w:hint="eastAsia" w:ascii="宋体" w:hAnsi="宋体"/>
                <w:szCs w:val="21"/>
                <w:highlight w:val="none"/>
                <w:lang w:val="en-US" w:eastAsia="zh-CN"/>
              </w:rPr>
              <w:t>3</w:t>
            </w:r>
            <w:r>
              <w:rPr>
                <w:rFonts w:hint="eastAsia" w:ascii="宋体" w:hAnsi="宋体"/>
                <w:szCs w:val="21"/>
                <w:highlight w:val="none"/>
              </w:rPr>
              <w:t>：关于印发《从业单位弄虚作假违法行为分类及信用评定标准（补充指南）》《招投标有关问题界定工作指南》的通知（苏交建便函〔2020〕82号）附件</w:t>
            </w:r>
            <w:r>
              <w:rPr>
                <w:rFonts w:hint="eastAsia" w:ascii="宋体" w:hAnsi="宋体"/>
                <w:szCs w:val="21"/>
                <w:highlight w:val="none"/>
                <w:lang w:val="en-US" w:eastAsia="zh-CN"/>
              </w:rPr>
              <w:t>4</w:t>
            </w:r>
            <w:r>
              <w:rPr>
                <w:rFonts w:hint="eastAsia" w:ascii="宋体" w:hAnsi="宋体"/>
                <w:szCs w:val="21"/>
                <w:highlight w:val="none"/>
              </w:rPr>
              <w:t>：省交通运输厅关于明确公路水运项目招投标和信用管理有关要求的通知（苏交建〔2020〕5号）</w:t>
            </w:r>
          </w:p>
        </w:tc>
      </w:tr>
      <w:tr w14:paraId="293B5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4CBBA30B">
            <w:pPr>
              <w:adjustRightInd w:val="0"/>
              <w:snapToGrid w:val="0"/>
              <w:jc w:val="center"/>
              <w:rPr>
                <w:rFonts w:ascii="宋体" w:hAnsi="宋体"/>
                <w:szCs w:val="21"/>
                <w:highlight w:val="none"/>
              </w:rPr>
            </w:pPr>
            <w:r>
              <w:rPr>
                <w:rFonts w:ascii="宋体" w:hAnsi="宋体"/>
                <w:szCs w:val="21"/>
                <w:highlight w:val="none"/>
              </w:rPr>
              <w:t>2.2.1</w:t>
            </w:r>
          </w:p>
        </w:tc>
        <w:tc>
          <w:tcPr>
            <w:tcW w:w="1666" w:type="pct"/>
            <w:noWrap w:val="0"/>
            <w:vAlign w:val="center"/>
          </w:tcPr>
          <w:p w14:paraId="79C9FE51">
            <w:pPr>
              <w:adjustRightInd w:val="0"/>
              <w:snapToGrid w:val="0"/>
              <w:jc w:val="center"/>
              <w:rPr>
                <w:rFonts w:ascii="宋体" w:hAnsi="宋体"/>
                <w:szCs w:val="21"/>
                <w:highlight w:val="none"/>
              </w:rPr>
            </w:pPr>
            <w:r>
              <w:rPr>
                <w:rFonts w:ascii="宋体" w:hAnsi="宋体"/>
                <w:szCs w:val="21"/>
                <w:highlight w:val="none"/>
              </w:rPr>
              <w:t>投标人要求澄清招标文件</w:t>
            </w:r>
          </w:p>
        </w:tc>
        <w:tc>
          <w:tcPr>
            <w:tcW w:w="2746" w:type="pct"/>
            <w:gridSpan w:val="2"/>
            <w:noWrap w:val="0"/>
            <w:vAlign w:val="center"/>
          </w:tcPr>
          <w:p w14:paraId="589D3770">
            <w:pPr>
              <w:keepNext w:val="0"/>
              <w:keepLines w:val="0"/>
              <w:pageBreakBefore w:val="0"/>
              <w:widowControl/>
              <w:kinsoku/>
              <w:wordWrap/>
              <w:overflowPunct/>
              <w:topLinePunct w:val="0"/>
              <w:autoSpaceDE/>
              <w:autoSpaceDN/>
              <w:bidi w:val="0"/>
              <w:adjustRightInd w:val="0"/>
              <w:snapToGrid w:val="0"/>
              <w:ind w:left="0" w:leftChars="0" w:right="0" w:rightChars="0"/>
              <w:textAlignment w:val="auto"/>
              <w:rPr>
                <w:rFonts w:hint="eastAsia" w:ascii="宋体" w:hAnsi="宋体" w:cs="宋体"/>
                <w:kern w:val="0"/>
                <w:sz w:val="21"/>
                <w:szCs w:val="21"/>
                <w:highlight w:val="none"/>
              </w:rPr>
            </w:pPr>
            <w:r>
              <w:rPr>
                <w:rFonts w:hint="eastAsia" w:ascii="宋体" w:hAnsi="宋体" w:cs="宋体"/>
                <w:kern w:val="0"/>
                <w:sz w:val="21"/>
                <w:szCs w:val="21"/>
                <w:highlight w:val="none"/>
              </w:rPr>
              <w:t>时间：投标截止日10天前</w:t>
            </w:r>
          </w:p>
          <w:p w14:paraId="3ACC2721">
            <w:pPr>
              <w:keepNext w:val="0"/>
              <w:keepLines w:val="0"/>
              <w:pageBreakBefore w:val="0"/>
              <w:widowControl/>
              <w:kinsoku/>
              <w:wordWrap/>
              <w:overflowPunct/>
              <w:topLinePunct w:val="0"/>
              <w:autoSpaceDE/>
              <w:autoSpaceDN/>
              <w:bidi w:val="0"/>
              <w:adjustRightInd w:val="0"/>
              <w:snapToGrid w:val="0"/>
              <w:ind w:left="0" w:leftChars="0" w:right="0" w:rightChars="0"/>
              <w:textAlignment w:val="auto"/>
              <w:rPr>
                <w:rFonts w:ascii="宋体" w:hAnsi="宋体"/>
                <w:sz w:val="21"/>
                <w:szCs w:val="21"/>
                <w:highlight w:val="none"/>
              </w:rPr>
            </w:pPr>
            <w:r>
              <w:rPr>
                <w:rFonts w:hint="eastAsia" w:ascii="宋体" w:hAnsi="宋体" w:cs="宋体"/>
                <w:kern w:val="0"/>
                <w:sz w:val="21"/>
                <w:szCs w:val="21"/>
                <w:highlight w:val="none"/>
              </w:rPr>
              <w:t>形式：投标人应以书面（含传真）的方式在投标截止时间10天以前通知招标代理。</w:t>
            </w:r>
          </w:p>
        </w:tc>
      </w:tr>
      <w:tr w14:paraId="343F0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2A306B9A">
            <w:pPr>
              <w:adjustRightInd w:val="0"/>
              <w:snapToGrid w:val="0"/>
              <w:jc w:val="center"/>
              <w:rPr>
                <w:rFonts w:ascii="宋体" w:hAnsi="宋体"/>
                <w:szCs w:val="21"/>
                <w:highlight w:val="none"/>
              </w:rPr>
            </w:pPr>
            <w:r>
              <w:rPr>
                <w:rFonts w:ascii="宋体" w:hAnsi="宋体"/>
                <w:szCs w:val="21"/>
                <w:highlight w:val="none"/>
              </w:rPr>
              <w:t>2.2.2</w:t>
            </w:r>
          </w:p>
        </w:tc>
        <w:tc>
          <w:tcPr>
            <w:tcW w:w="1666" w:type="pct"/>
            <w:noWrap w:val="0"/>
            <w:vAlign w:val="center"/>
          </w:tcPr>
          <w:p w14:paraId="266DB980">
            <w:pPr>
              <w:adjustRightInd w:val="0"/>
              <w:snapToGrid w:val="0"/>
              <w:jc w:val="center"/>
              <w:rPr>
                <w:rFonts w:ascii="宋体" w:hAnsi="宋体"/>
                <w:szCs w:val="21"/>
                <w:highlight w:val="none"/>
              </w:rPr>
            </w:pPr>
            <w:r>
              <w:rPr>
                <w:rFonts w:ascii="宋体" w:hAnsi="宋体"/>
                <w:szCs w:val="21"/>
                <w:highlight w:val="none"/>
              </w:rPr>
              <w:t>招标文件澄清发出的形式</w:t>
            </w:r>
          </w:p>
        </w:tc>
        <w:tc>
          <w:tcPr>
            <w:tcW w:w="2746" w:type="pct"/>
            <w:gridSpan w:val="2"/>
            <w:noWrap w:val="0"/>
            <w:vAlign w:val="center"/>
          </w:tcPr>
          <w:p w14:paraId="30BD89EB">
            <w:pPr>
              <w:keepNext w:val="0"/>
              <w:keepLines w:val="0"/>
              <w:pageBreakBefore w:val="0"/>
              <w:widowControl/>
              <w:kinsoku/>
              <w:wordWrap/>
              <w:overflowPunct/>
              <w:topLinePunct w:val="0"/>
              <w:autoSpaceDE/>
              <w:autoSpaceDN/>
              <w:bidi w:val="0"/>
              <w:adjustRightInd w:val="0"/>
              <w:snapToGrid w:val="0"/>
              <w:ind w:left="0" w:leftChars="0" w:right="0" w:rightChars="0"/>
              <w:jc w:val="left"/>
              <w:textAlignment w:val="auto"/>
              <w:rPr>
                <w:rFonts w:hint="eastAsia" w:ascii="宋体" w:hAnsi="宋体" w:cs="宋体"/>
                <w:kern w:val="0"/>
                <w:sz w:val="21"/>
                <w:szCs w:val="21"/>
                <w:highlight w:val="none"/>
              </w:rPr>
            </w:pPr>
            <w:r>
              <w:rPr>
                <w:rFonts w:hint="eastAsia" w:ascii="宋体" w:hAnsi="宋体" w:cs="宋体"/>
                <w:kern w:val="0"/>
                <w:sz w:val="21"/>
                <w:szCs w:val="21"/>
                <w:highlight w:val="none"/>
              </w:rPr>
              <w:t>在南通市交通运输局网站（http://jtysj.nantong.gov.cn）上发布招标文件澄清。</w:t>
            </w:r>
          </w:p>
          <w:p w14:paraId="3277DA1E">
            <w:pPr>
              <w:keepNext w:val="0"/>
              <w:keepLines w:val="0"/>
              <w:pageBreakBefore w:val="0"/>
              <w:widowControl/>
              <w:kinsoku/>
              <w:wordWrap/>
              <w:overflowPunct/>
              <w:topLinePunct w:val="0"/>
              <w:autoSpaceDE/>
              <w:autoSpaceDN/>
              <w:bidi w:val="0"/>
              <w:adjustRightInd w:val="0"/>
              <w:snapToGrid w:val="0"/>
              <w:ind w:left="0" w:leftChars="0" w:right="0" w:rightChars="0"/>
              <w:textAlignment w:val="auto"/>
              <w:rPr>
                <w:rFonts w:ascii="宋体" w:hAnsi="宋体"/>
                <w:b/>
                <w:bCs/>
                <w:spacing w:val="-2"/>
                <w:sz w:val="21"/>
                <w:szCs w:val="21"/>
                <w:highlight w:val="none"/>
              </w:rPr>
            </w:pPr>
            <w:r>
              <w:rPr>
                <w:rFonts w:hint="eastAsia" w:ascii="宋体" w:hAnsi="宋体" w:cs="宋体"/>
                <w:kern w:val="0"/>
                <w:sz w:val="21"/>
                <w:szCs w:val="21"/>
                <w:highlight w:val="none"/>
              </w:rPr>
              <w:t>澄清招标文件的时间距投标截止时间不足15日，且澄清内容可能影响投标文件编制的，将相应延长投标截止时间。</w:t>
            </w:r>
          </w:p>
        </w:tc>
      </w:tr>
      <w:tr w14:paraId="2F10D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3CA86D85">
            <w:pPr>
              <w:adjustRightInd w:val="0"/>
              <w:snapToGrid w:val="0"/>
              <w:jc w:val="center"/>
              <w:rPr>
                <w:rFonts w:ascii="宋体" w:hAnsi="宋体"/>
                <w:szCs w:val="21"/>
                <w:highlight w:val="none"/>
              </w:rPr>
            </w:pPr>
            <w:r>
              <w:rPr>
                <w:rFonts w:ascii="宋体" w:hAnsi="宋体"/>
                <w:szCs w:val="21"/>
                <w:highlight w:val="none"/>
              </w:rPr>
              <w:t>2.2.3</w:t>
            </w:r>
          </w:p>
        </w:tc>
        <w:tc>
          <w:tcPr>
            <w:tcW w:w="1666" w:type="pct"/>
            <w:noWrap w:val="0"/>
            <w:vAlign w:val="center"/>
          </w:tcPr>
          <w:p w14:paraId="4999E136">
            <w:pPr>
              <w:adjustRightInd w:val="0"/>
              <w:snapToGrid w:val="0"/>
              <w:jc w:val="center"/>
              <w:rPr>
                <w:rFonts w:ascii="宋体" w:hAnsi="宋体"/>
                <w:szCs w:val="21"/>
                <w:highlight w:val="none"/>
              </w:rPr>
            </w:pPr>
            <w:r>
              <w:rPr>
                <w:rFonts w:ascii="宋体" w:hAnsi="宋体"/>
                <w:szCs w:val="21"/>
                <w:highlight w:val="none"/>
              </w:rPr>
              <w:t>投标人确认收到招标文件澄清</w:t>
            </w:r>
          </w:p>
        </w:tc>
        <w:tc>
          <w:tcPr>
            <w:tcW w:w="2746" w:type="pct"/>
            <w:gridSpan w:val="2"/>
            <w:noWrap w:val="0"/>
            <w:vAlign w:val="center"/>
          </w:tcPr>
          <w:p w14:paraId="10BC7947">
            <w:pPr>
              <w:keepNext w:val="0"/>
              <w:keepLines w:val="0"/>
              <w:pageBreakBefore w:val="0"/>
              <w:widowControl/>
              <w:kinsoku/>
              <w:wordWrap/>
              <w:overflowPunct/>
              <w:topLinePunct w:val="0"/>
              <w:autoSpaceDE/>
              <w:autoSpaceDN/>
              <w:bidi w:val="0"/>
              <w:adjustRightInd w:val="0"/>
              <w:snapToGrid w:val="0"/>
              <w:ind w:left="0" w:leftChars="0" w:right="0" w:rightChars="0"/>
              <w:jc w:val="left"/>
              <w:textAlignment w:val="auto"/>
              <w:rPr>
                <w:rFonts w:ascii="宋体" w:hAnsi="宋体"/>
                <w:b/>
                <w:bCs/>
                <w:sz w:val="21"/>
                <w:szCs w:val="21"/>
                <w:highlight w:val="none"/>
              </w:rPr>
            </w:pPr>
            <w:r>
              <w:rPr>
                <w:rFonts w:hint="eastAsia" w:ascii="宋体" w:hAnsi="宋体" w:cs="宋体"/>
                <w:kern w:val="0"/>
                <w:sz w:val="21"/>
                <w:szCs w:val="21"/>
                <w:highlight w:val="none"/>
              </w:rPr>
              <w:t>在南通市交通运输局网站（http://jtysj.nantong.gov.cn）上发布招标文件澄清，请投标人自行查看下载。在网站上一经公布，视为投标人已知悉并自行进行下载，无需确认。</w:t>
            </w:r>
          </w:p>
        </w:tc>
      </w:tr>
      <w:tr w14:paraId="3E91D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20ED7286">
            <w:pPr>
              <w:adjustRightInd w:val="0"/>
              <w:snapToGrid w:val="0"/>
              <w:jc w:val="center"/>
              <w:rPr>
                <w:rFonts w:ascii="宋体" w:hAnsi="宋体"/>
                <w:szCs w:val="21"/>
                <w:highlight w:val="none"/>
              </w:rPr>
            </w:pPr>
            <w:r>
              <w:rPr>
                <w:rFonts w:ascii="宋体" w:hAnsi="宋体"/>
                <w:szCs w:val="21"/>
                <w:highlight w:val="none"/>
              </w:rPr>
              <w:t>2.3.1</w:t>
            </w:r>
          </w:p>
        </w:tc>
        <w:tc>
          <w:tcPr>
            <w:tcW w:w="1666" w:type="pct"/>
            <w:noWrap w:val="0"/>
            <w:vAlign w:val="center"/>
          </w:tcPr>
          <w:p w14:paraId="172B6E38">
            <w:pPr>
              <w:adjustRightInd w:val="0"/>
              <w:snapToGrid w:val="0"/>
              <w:jc w:val="center"/>
              <w:rPr>
                <w:rFonts w:ascii="宋体" w:hAnsi="宋体"/>
                <w:szCs w:val="21"/>
                <w:highlight w:val="none"/>
                <w:u w:val="single"/>
              </w:rPr>
            </w:pPr>
            <w:r>
              <w:rPr>
                <w:rFonts w:ascii="宋体" w:hAnsi="宋体"/>
                <w:szCs w:val="21"/>
                <w:highlight w:val="none"/>
              </w:rPr>
              <w:t>招标文件修改发出的形式</w:t>
            </w:r>
          </w:p>
        </w:tc>
        <w:tc>
          <w:tcPr>
            <w:tcW w:w="2746" w:type="pct"/>
            <w:gridSpan w:val="2"/>
            <w:noWrap w:val="0"/>
            <w:vAlign w:val="center"/>
          </w:tcPr>
          <w:p w14:paraId="385F1D87">
            <w:pPr>
              <w:keepNext w:val="0"/>
              <w:keepLines w:val="0"/>
              <w:pageBreakBefore w:val="0"/>
              <w:widowControl/>
              <w:kinsoku/>
              <w:wordWrap/>
              <w:overflowPunct/>
              <w:topLinePunct w:val="0"/>
              <w:autoSpaceDE/>
              <w:autoSpaceDN/>
              <w:bidi w:val="0"/>
              <w:adjustRightInd w:val="0"/>
              <w:snapToGrid w:val="0"/>
              <w:ind w:left="0" w:leftChars="0" w:right="0" w:rightChars="0"/>
              <w:textAlignment w:val="auto"/>
              <w:rPr>
                <w:rFonts w:ascii="宋体" w:hAnsi="宋体"/>
                <w:sz w:val="21"/>
                <w:szCs w:val="21"/>
                <w:highlight w:val="none"/>
                <w:u w:val="single"/>
              </w:rPr>
            </w:pPr>
            <w:r>
              <w:rPr>
                <w:rFonts w:hint="eastAsia" w:ascii="宋体" w:hAnsi="宋体" w:cs="宋体"/>
                <w:kern w:val="0"/>
                <w:sz w:val="21"/>
                <w:szCs w:val="21"/>
                <w:highlight w:val="none"/>
              </w:rPr>
              <w:t>在南通市交通运输局网站（http://jtysj.nantong.gov.cn）上发布招标文件修改。修改招标文件的时间距投标截止时间不足15日，且修改内容可能影响投标文件编制的，将相应延长投标截止时间。</w:t>
            </w:r>
          </w:p>
        </w:tc>
      </w:tr>
      <w:tr w14:paraId="52A49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7C9E9102">
            <w:pPr>
              <w:adjustRightInd w:val="0"/>
              <w:snapToGrid w:val="0"/>
              <w:jc w:val="center"/>
              <w:rPr>
                <w:rFonts w:ascii="宋体" w:hAnsi="宋体"/>
                <w:szCs w:val="21"/>
                <w:highlight w:val="none"/>
              </w:rPr>
            </w:pPr>
            <w:r>
              <w:rPr>
                <w:rFonts w:ascii="宋体" w:hAnsi="宋体"/>
                <w:szCs w:val="21"/>
                <w:highlight w:val="none"/>
              </w:rPr>
              <w:t>2.3.2</w:t>
            </w:r>
          </w:p>
        </w:tc>
        <w:tc>
          <w:tcPr>
            <w:tcW w:w="1666" w:type="pct"/>
            <w:noWrap w:val="0"/>
            <w:vAlign w:val="center"/>
          </w:tcPr>
          <w:p w14:paraId="0722DE5F">
            <w:pPr>
              <w:adjustRightInd w:val="0"/>
              <w:snapToGrid w:val="0"/>
              <w:jc w:val="center"/>
              <w:rPr>
                <w:rFonts w:ascii="宋体" w:hAnsi="宋体"/>
                <w:szCs w:val="21"/>
                <w:highlight w:val="none"/>
              </w:rPr>
            </w:pPr>
            <w:r>
              <w:rPr>
                <w:rFonts w:ascii="宋体" w:hAnsi="宋体"/>
                <w:szCs w:val="21"/>
                <w:highlight w:val="none"/>
              </w:rPr>
              <w:t>投标人确认收到招标文件的修改</w:t>
            </w:r>
          </w:p>
        </w:tc>
        <w:tc>
          <w:tcPr>
            <w:tcW w:w="2746" w:type="pct"/>
            <w:gridSpan w:val="2"/>
            <w:noWrap w:val="0"/>
            <w:vAlign w:val="center"/>
          </w:tcPr>
          <w:p w14:paraId="5A3CBA70">
            <w:pPr>
              <w:keepNext w:val="0"/>
              <w:keepLines w:val="0"/>
              <w:pageBreakBefore w:val="0"/>
              <w:widowControl/>
              <w:kinsoku/>
              <w:wordWrap/>
              <w:overflowPunct/>
              <w:topLinePunct w:val="0"/>
              <w:autoSpaceDE/>
              <w:autoSpaceDN/>
              <w:bidi w:val="0"/>
              <w:adjustRightInd w:val="0"/>
              <w:snapToGrid w:val="0"/>
              <w:ind w:left="0" w:leftChars="0" w:right="0" w:rightChars="0"/>
              <w:textAlignment w:val="auto"/>
              <w:rPr>
                <w:rFonts w:ascii="宋体" w:hAnsi="宋体"/>
                <w:sz w:val="21"/>
                <w:szCs w:val="21"/>
                <w:highlight w:val="none"/>
              </w:rPr>
            </w:pPr>
            <w:r>
              <w:rPr>
                <w:rFonts w:hint="eastAsia" w:ascii="宋体" w:hAnsi="宋体" w:cs="宋体"/>
                <w:kern w:val="0"/>
                <w:sz w:val="21"/>
                <w:szCs w:val="21"/>
                <w:highlight w:val="none"/>
              </w:rPr>
              <w:t>在南通市交通运输局网站（http://jtysj.nantong.gov.cn）上发布招标文件修改，请投标人自行查看下载。在网站上一经公布，视为投标人已知悉并自行进行下载，无需确认。</w:t>
            </w:r>
          </w:p>
        </w:tc>
      </w:tr>
      <w:tr w14:paraId="3DDE1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602BC7C4">
            <w:pPr>
              <w:adjustRightInd w:val="0"/>
              <w:snapToGrid w:val="0"/>
              <w:jc w:val="center"/>
              <w:rPr>
                <w:rFonts w:ascii="宋体" w:hAnsi="宋体"/>
                <w:szCs w:val="21"/>
                <w:highlight w:val="none"/>
              </w:rPr>
            </w:pPr>
            <w:r>
              <w:rPr>
                <w:rFonts w:ascii="宋体" w:hAnsi="宋体"/>
                <w:szCs w:val="21"/>
                <w:highlight w:val="none"/>
              </w:rPr>
              <w:t>3.1.1</w:t>
            </w:r>
          </w:p>
        </w:tc>
        <w:tc>
          <w:tcPr>
            <w:tcW w:w="1666" w:type="pct"/>
            <w:noWrap w:val="0"/>
            <w:vAlign w:val="center"/>
          </w:tcPr>
          <w:p w14:paraId="350D5215">
            <w:pPr>
              <w:adjustRightInd w:val="0"/>
              <w:snapToGrid w:val="0"/>
              <w:jc w:val="center"/>
              <w:rPr>
                <w:rFonts w:ascii="宋体" w:hAnsi="宋体"/>
                <w:szCs w:val="21"/>
                <w:highlight w:val="none"/>
              </w:rPr>
            </w:pPr>
            <w:r>
              <w:rPr>
                <w:rFonts w:ascii="宋体" w:hAnsi="宋体"/>
                <w:szCs w:val="21"/>
                <w:highlight w:val="none"/>
              </w:rPr>
              <w:t>构成投标文件的其他材料</w:t>
            </w:r>
          </w:p>
        </w:tc>
        <w:tc>
          <w:tcPr>
            <w:tcW w:w="2746" w:type="pct"/>
            <w:gridSpan w:val="2"/>
            <w:noWrap w:val="0"/>
            <w:vAlign w:val="center"/>
          </w:tcPr>
          <w:p w14:paraId="6C738D95">
            <w:pPr>
              <w:adjustRightInd w:val="0"/>
              <w:snapToGrid w:val="0"/>
              <w:rPr>
                <w:rFonts w:hint="eastAsia" w:ascii="宋体" w:hAnsi="宋体"/>
                <w:szCs w:val="21"/>
                <w:highlight w:val="none"/>
              </w:rPr>
            </w:pPr>
            <w:r>
              <w:rPr>
                <w:rFonts w:hint="eastAsia" w:ascii="宋体" w:hAnsi="宋体"/>
                <w:szCs w:val="21"/>
                <w:highlight w:val="none"/>
              </w:rPr>
              <w:t>详见招标文件“投标文件格式”。投标人须按招标文件“投标文件格式”规定的格式和内容编制投标文件。</w:t>
            </w:r>
          </w:p>
        </w:tc>
      </w:tr>
      <w:tr w14:paraId="79BF5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7FD99608">
            <w:pPr>
              <w:adjustRightInd w:val="0"/>
              <w:snapToGrid w:val="0"/>
              <w:jc w:val="center"/>
              <w:rPr>
                <w:rFonts w:ascii="宋体" w:hAnsi="宋体"/>
                <w:szCs w:val="21"/>
                <w:highlight w:val="none"/>
              </w:rPr>
            </w:pPr>
            <w:r>
              <w:rPr>
                <w:rFonts w:ascii="宋体" w:hAnsi="宋体"/>
                <w:szCs w:val="21"/>
                <w:highlight w:val="none"/>
              </w:rPr>
              <w:t>3.2.1</w:t>
            </w:r>
          </w:p>
        </w:tc>
        <w:tc>
          <w:tcPr>
            <w:tcW w:w="1666" w:type="pct"/>
            <w:noWrap w:val="0"/>
            <w:vAlign w:val="center"/>
          </w:tcPr>
          <w:p w14:paraId="6D302243">
            <w:pPr>
              <w:adjustRightInd w:val="0"/>
              <w:snapToGrid w:val="0"/>
              <w:jc w:val="center"/>
              <w:rPr>
                <w:rFonts w:ascii="宋体" w:hAnsi="宋体"/>
                <w:szCs w:val="21"/>
                <w:highlight w:val="none"/>
              </w:rPr>
            </w:pPr>
            <w:r>
              <w:rPr>
                <w:rFonts w:ascii="宋体" w:hAnsi="宋体"/>
                <w:spacing w:val="-2"/>
                <w:szCs w:val="21"/>
                <w:highlight w:val="none"/>
              </w:rPr>
              <w:t>增值税税金的计算方法</w:t>
            </w:r>
          </w:p>
        </w:tc>
        <w:tc>
          <w:tcPr>
            <w:tcW w:w="2746" w:type="pct"/>
            <w:gridSpan w:val="2"/>
            <w:noWrap w:val="0"/>
            <w:vAlign w:val="center"/>
          </w:tcPr>
          <w:p w14:paraId="5FE1E38B">
            <w:pPr>
              <w:adjustRightInd w:val="0"/>
              <w:snapToGrid w:val="0"/>
              <w:rPr>
                <w:rFonts w:ascii="宋体" w:hAnsi="宋体"/>
                <w:szCs w:val="21"/>
                <w:highlight w:val="none"/>
              </w:rPr>
            </w:pPr>
            <w:r>
              <w:rPr>
                <w:rFonts w:hint="eastAsia" w:ascii="宋体" w:hAnsi="宋体" w:cs="宋体"/>
                <w:szCs w:val="21"/>
                <w:highlight w:val="none"/>
              </w:rPr>
              <w:t>按一般计税方法计算</w:t>
            </w:r>
          </w:p>
        </w:tc>
      </w:tr>
      <w:tr w14:paraId="2DC31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12735253">
            <w:pPr>
              <w:adjustRightInd w:val="0"/>
              <w:snapToGrid w:val="0"/>
              <w:jc w:val="center"/>
              <w:rPr>
                <w:rFonts w:ascii="宋体" w:hAnsi="宋体"/>
                <w:szCs w:val="21"/>
                <w:highlight w:val="none"/>
              </w:rPr>
            </w:pPr>
            <w:r>
              <w:rPr>
                <w:rFonts w:ascii="宋体" w:hAnsi="宋体"/>
                <w:szCs w:val="21"/>
                <w:highlight w:val="none"/>
              </w:rPr>
              <w:t>3.2.3</w:t>
            </w:r>
          </w:p>
        </w:tc>
        <w:tc>
          <w:tcPr>
            <w:tcW w:w="1666" w:type="pct"/>
            <w:noWrap w:val="0"/>
            <w:vAlign w:val="center"/>
          </w:tcPr>
          <w:p w14:paraId="4877CECC">
            <w:pPr>
              <w:adjustRightInd w:val="0"/>
              <w:snapToGrid w:val="0"/>
              <w:jc w:val="center"/>
              <w:rPr>
                <w:rFonts w:ascii="宋体" w:hAnsi="宋体"/>
                <w:szCs w:val="21"/>
                <w:highlight w:val="none"/>
              </w:rPr>
            </w:pPr>
            <w:r>
              <w:rPr>
                <w:rFonts w:ascii="宋体" w:hAnsi="宋体"/>
                <w:szCs w:val="21"/>
                <w:highlight w:val="none"/>
              </w:rPr>
              <w:t>报价方式</w:t>
            </w:r>
          </w:p>
        </w:tc>
        <w:tc>
          <w:tcPr>
            <w:tcW w:w="2746" w:type="pct"/>
            <w:gridSpan w:val="2"/>
            <w:noWrap w:val="0"/>
            <w:vAlign w:val="center"/>
          </w:tcPr>
          <w:p w14:paraId="55E7ACA3">
            <w:pPr>
              <w:adjustRightInd w:val="0"/>
              <w:snapToGrid w:val="0"/>
              <w:rPr>
                <w:rFonts w:ascii="宋体" w:hAnsi="宋体"/>
                <w:szCs w:val="21"/>
                <w:highlight w:val="none"/>
              </w:rPr>
            </w:pPr>
            <w:r>
              <w:rPr>
                <w:rFonts w:ascii="宋体" w:hAnsi="宋体"/>
                <w:szCs w:val="21"/>
                <w:highlight w:val="none"/>
              </w:rPr>
              <w:fldChar w:fldCharType="begin"/>
            </w:r>
            <w:r>
              <w:rPr>
                <w:rFonts w:ascii="宋体" w:hAnsi="宋体"/>
                <w:szCs w:val="21"/>
                <w:highlight w:val="none"/>
              </w:rPr>
              <w:instrText xml:space="preserve"> </w:instrText>
            </w:r>
            <w:r>
              <w:rPr>
                <w:rFonts w:hint="eastAsia" w:ascii="宋体" w:hAnsi="宋体"/>
                <w:szCs w:val="21"/>
                <w:highlight w:val="none"/>
              </w:rPr>
              <w:instrText xml:space="preserve">eq \o\ac(□</w:instrText>
            </w:r>
            <w:r>
              <w:rPr>
                <w:rFonts w:hint="eastAsia" w:ascii="宋体" w:hAnsi="宋体"/>
                <w:szCs w:val="21"/>
                <w:highlight w:val="none"/>
                <w:lang w:eastAsia="zh-CN"/>
              </w:rPr>
              <w:instrText xml:space="preserve">,</w:instrText>
            </w:r>
            <w:r>
              <w:rPr>
                <w:rFonts w:hint="eastAsia" w:ascii="宋体" w:hAnsi="宋体"/>
                <w:position w:val="2"/>
                <w:sz w:val="13"/>
                <w:szCs w:val="21"/>
                <w:highlight w:val="none"/>
                <w:lang w:eastAsia="zh-CN"/>
              </w:rPr>
              <w:instrText xml:space="preserve">√</w:instrText>
            </w:r>
            <w:r>
              <w:rPr>
                <w:rFonts w:hint="eastAsia" w:ascii="宋体" w:hAnsi="宋体"/>
                <w:szCs w:val="21"/>
                <w:highlight w:val="none"/>
              </w:rPr>
              <w:instrText xml:space="preserve">)</w:instrText>
            </w:r>
            <w:r>
              <w:rPr>
                <w:rFonts w:ascii="宋体" w:hAnsi="宋体"/>
                <w:szCs w:val="21"/>
                <w:highlight w:val="none"/>
              </w:rPr>
              <w:fldChar w:fldCharType="end"/>
            </w:r>
            <w:r>
              <w:rPr>
                <w:rFonts w:ascii="宋体" w:hAnsi="宋体"/>
                <w:szCs w:val="21"/>
                <w:highlight w:val="none"/>
              </w:rPr>
              <w:t>总价</w:t>
            </w:r>
          </w:p>
          <w:p w14:paraId="409CCB16">
            <w:pPr>
              <w:adjustRightInd w:val="0"/>
              <w:snapToGrid w:val="0"/>
              <w:rPr>
                <w:rFonts w:hint="eastAsia" w:ascii="宋体" w:hAnsi="宋体"/>
                <w:szCs w:val="21"/>
                <w:highlight w:val="none"/>
              </w:rPr>
            </w:pPr>
            <w:r>
              <w:rPr>
                <w:rFonts w:hint="eastAsia" w:ascii="宋体" w:hAnsi="宋体" w:cs="宋体"/>
                <w:szCs w:val="21"/>
                <w:highlight w:val="none"/>
              </w:rPr>
              <w:fldChar w:fldCharType="begin"/>
            </w:r>
            <w:r>
              <w:rPr>
                <w:rFonts w:hint="eastAsia" w:ascii="宋体" w:hAnsi="宋体" w:cs="宋体"/>
                <w:szCs w:val="21"/>
                <w:highlight w:val="none"/>
              </w:rPr>
              <w:instrText xml:space="preserve"> eq \o\ac(□,×)</w:instrText>
            </w:r>
            <w:r>
              <w:rPr>
                <w:rFonts w:hint="eastAsia" w:ascii="宋体" w:hAnsi="宋体" w:cs="宋体"/>
                <w:szCs w:val="21"/>
                <w:highlight w:val="none"/>
              </w:rPr>
              <w:fldChar w:fldCharType="end"/>
            </w:r>
            <w:r>
              <w:rPr>
                <w:rFonts w:ascii="宋体" w:hAnsi="宋体"/>
                <w:szCs w:val="21"/>
                <w:highlight w:val="none"/>
              </w:rPr>
              <w:t>单价</w:t>
            </w:r>
          </w:p>
        </w:tc>
      </w:tr>
      <w:tr w14:paraId="5C92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0E0BBE15">
            <w:pPr>
              <w:adjustRightInd w:val="0"/>
              <w:snapToGrid w:val="0"/>
              <w:jc w:val="center"/>
              <w:rPr>
                <w:rFonts w:ascii="宋体" w:hAnsi="宋体"/>
                <w:szCs w:val="21"/>
                <w:highlight w:val="none"/>
              </w:rPr>
            </w:pPr>
            <w:r>
              <w:rPr>
                <w:rFonts w:ascii="宋体" w:hAnsi="宋体"/>
                <w:szCs w:val="21"/>
                <w:highlight w:val="none"/>
              </w:rPr>
              <w:t>3.2.4</w:t>
            </w:r>
          </w:p>
        </w:tc>
        <w:tc>
          <w:tcPr>
            <w:tcW w:w="1666" w:type="pct"/>
            <w:noWrap w:val="0"/>
            <w:vAlign w:val="center"/>
          </w:tcPr>
          <w:p w14:paraId="4F8783AA">
            <w:pPr>
              <w:adjustRightInd w:val="0"/>
              <w:snapToGrid w:val="0"/>
              <w:jc w:val="center"/>
              <w:rPr>
                <w:rFonts w:ascii="宋体" w:hAnsi="宋体"/>
                <w:szCs w:val="21"/>
                <w:highlight w:val="none"/>
              </w:rPr>
            </w:pPr>
            <w:r>
              <w:rPr>
                <w:rFonts w:ascii="宋体" w:hAnsi="宋体"/>
                <w:szCs w:val="21"/>
                <w:highlight w:val="none"/>
              </w:rPr>
              <w:t>最高投标限价</w:t>
            </w:r>
          </w:p>
        </w:tc>
        <w:tc>
          <w:tcPr>
            <w:tcW w:w="2746" w:type="pct"/>
            <w:gridSpan w:val="2"/>
            <w:noWrap w:val="0"/>
            <w:vAlign w:val="center"/>
          </w:tcPr>
          <w:p w14:paraId="289A8665">
            <w:pPr>
              <w:adjustRightInd w:val="0"/>
              <w:snapToGrid w:val="0"/>
              <w:jc w:val="left"/>
              <w:rPr>
                <w:rFonts w:ascii="宋体" w:hAnsi="宋体"/>
                <w:szCs w:val="21"/>
                <w:highlight w:val="none"/>
              </w:rPr>
            </w:pPr>
            <w:r>
              <w:rPr>
                <w:rFonts w:ascii="宋体" w:hAnsi="宋体"/>
                <w:szCs w:val="21"/>
                <w:highlight w:val="none"/>
              </w:rPr>
              <w:fldChar w:fldCharType="begin"/>
            </w:r>
            <w:r>
              <w:rPr>
                <w:rFonts w:ascii="宋体" w:hAnsi="宋体"/>
                <w:szCs w:val="21"/>
                <w:highlight w:val="none"/>
              </w:rPr>
              <w:instrText xml:space="preserve"> eq \o\ac(□,</w:instrText>
            </w:r>
            <w:r>
              <w:rPr>
                <w:rFonts w:ascii="宋体" w:hAnsi="宋体"/>
                <w:position w:val="1"/>
                <w:szCs w:val="21"/>
                <w:highlight w:val="none"/>
              </w:rPr>
              <w:instrText xml:space="preserve">×</w:instrText>
            </w:r>
            <w:r>
              <w:rPr>
                <w:rFonts w:ascii="宋体" w:hAnsi="宋体"/>
                <w:szCs w:val="21"/>
                <w:highlight w:val="none"/>
              </w:rPr>
              <w:instrText xml:space="preserve">)</w:instrText>
            </w:r>
            <w:r>
              <w:rPr>
                <w:rFonts w:ascii="宋体" w:hAnsi="宋体"/>
                <w:szCs w:val="21"/>
                <w:highlight w:val="none"/>
              </w:rPr>
              <w:fldChar w:fldCharType="end"/>
            </w:r>
            <w:r>
              <w:rPr>
                <w:rFonts w:ascii="宋体" w:hAnsi="宋体"/>
                <w:szCs w:val="21"/>
                <w:highlight w:val="none"/>
              </w:rPr>
              <w:t>无</w:t>
            </w:r>
          </w:p>
          <w:p w14:paraId="7BAC5B5F">
            <w:pPr>
              <w:widowControl/>
              <w:adjustRightInd w:val="0"/>
              <w:snapToGrid w:val="0"/>
              <w:rPr>
                <w:rFonts w:hint="eastAsia"/>
                <w:color w:val="FF0000"/>
                <w:sz w:val="24"/>
                <w:highlight w:val="none"/>
              </w:rPr>
            </w:pPr>
            <w:r>
              <w:rPr>
                <w:rFonts w:ascii="宋体" w:hAnsi="宋体"/>
                <w:szCs w:val="21"/>
                <w:highlight w:val="none"/>
              </w:rPr>
              <w:fldChar w:fldCharType="begin"/>
            </w:r>
            <w:r>
              <w:rPr>
                <w:rFonts w:ascii="宋体" w:hAnsi="宋体"/>
                <w:szCs w:val="21"/>
                <w:highlight w:val="none"/>
              </w:rPr>
              <w:instrText xml:space="preserve"> </w:instrText>
            </w:r>
            <w:r>
              <w:rPr>
                <w:rFonts w:hint="eastAsia" w:ascii="宋体" w:hAnsi="宋体"/>
                <w:szCs w:val="21"/>
                <w:highlight w:val="none"/>
              </w:rPr>
              <w:instrText xml:space="preserve">eq \o\ac(□,</w:instrText>
            </w:r>
            <w:r>
              <w:rPr>
                <w:rFonts w:hint="eastAsia" w:ascii="宋体" w:hAnsi="宋体"/>
                <w:position w:val="1"/>
                <w:szCs w:val="21"/>
                <w:highlight w:val="none"/>
              </w:rPr>
              <w:instrText xml:space="preserve">√</w:instrText>
            </w:r>
            <w:r>
              <w:rPr>
                <w:rFonts w:hint="eastAsia" w:ascii="宋体" w:hAnsi="宋体"/>
                <w:szCs w:val="21"/>
                <w:highlight w:val="none"/>
              </w:rPr>
              <w:instrText xml:space="preserve">)</w:instrText>
            </w:r>
            <w:r>
              <w:rPr>
                <w:rFonts w:ascii="宋体" w:hAnsi="宋体"/>
                <w:szCs w:val="21"/>
                <w:highlight w:val="none"/>
              </w:rPr>
              <w:fldChar w:fldCharType="end"/>
            </w:r>
            <w:r>
              <w:rPr>
                <w:rFonts w:ascii="宋体" w:hAnsi="宋体"/>
                <w:b/>
                <w:szCs w:val="21"/>
                <w:highlight w:val="none"/>
              </w:rPr>
              <w:t>有</w:t>
            </w:r>
            <w:r>
              <w:rPr>
                <w:rFonts w:hint="eastAsia" w:ascii="宋体" w:hAnsi="宋体"/>
                <w:b/>
                <w:szCs w:val="21"/>
                <w:highlight w:val="none"/>
              </w:rPr>
              <w:t>,</w:t>
            </w:r>
            <w:r>
              <w:rPr>
                <w:rFonts w:hint="eastAsia" w:ascii="宋体" w:hAnsi="宋体"/>
                <w:b/>
                <w:szCs w:val="21"/>
                <w:highlight w:val="none"/>
                <w:lang w:val="en-US"/>
              </w:rPr>
              <w:t>本项目招标人设定的最高投标限价为：人民币</w:t>
            </w:r>
            <w:r>
              <w:rPr>
                <w:rFonts w:hint="eastAsia" w:ascii="宋体" w:hAnsi="宋体"/>
                <w:b/>
                <w:szCs w:val="21"/>
                <w:highlight w:val="none"/>
                <w:lang w:val="en-US" w:eastAsia="zh-CN"/>
              </w:rPr>
              <w:t>肆拾捌</w:t>
            </w:r>
            <w:r>
              <w:rPr>
                <w:rFonts w:hint="eastAsia" w:ascii="宋体" w:hAnsi="宋体"/>
                <w:b/>
                <w:szCs w:val="21"/>
                <w:highlight w:val="none"/>
                <w:lang w:val="en-US"/>
              </w:rPr>
              <w:t>万元（¥</w:t>
            </w:r>
            <w:r>
              <w:rPr>
                <w:rFonts w:hint="eastAsia" w:ascii="宋体" w:hAnsi="宋体"/>
                <w:b/>
                <w:szCs w:val="21"/>
                <w:highlight w:val="none"/>
                <w:lang w:val="en-US" w:eastAsia="zh-CN"/>
              </w:rPr>
              <w:t>48</w:t>
            </w:r>
            <w:r>
              <w:rPr>
                <w:rFonts w:hint="eastAsia" w:ascii="宋体" w:hAnsi="宋体"/>
                <w:b/>
                <w:szCs w:val="21"/>
                <w:highlight w:val="none"/>
                <w:lang w:val="en-US"/>
              </w:rPr>
              <w:t>0000）。投标人的</w:t>
            </w:r>
            <w:r>
              <w:rPr>
                <w:rFonts w:hint="eastAsia" w:ascii="宋体" w:hAnsi="宋体"/>
                <w:b/>
                <w:szCs w:val="21"/>
                <w:highlight w:val="none"/>
                <w:lang w:val="en-US" w:eastAsia="zh-CN"/>
              </w:rPr>
              <w:t>投标</w:t>
            </w:r>
            <w:r>
              <w:rPr>
                <w:rFonts w:hint="eastAsia" w:ascii="宋体" w:hAnsi="宋体"/>
                <w:b/>
                <w:szCs w:val="21"/>
                <w:highlight w:val="none"/>
                <w:lang w:val="en-US"/>
              </w:rPr>
              <w:t>报价超出招标人设定的最高投标限价的，招标人不予接受，其投标按否决投标处理。</w:t>
            </w:r>
          </w:p>
        </w:tc>
      </w:tr>
      <w:tr w14:paraId="33B7A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70D653EF">
            <w:pPr>
              <w:adjustRightInd w:val="0"/>
              <w:snapToGrid w:val="0"/>
              <w:rPr>
                <w:rFonts w:ascii="宋体" w:hAnsi="宋体"/>
                <w:szCs w:val="21"/>
                <w:highlight w:val="none"/>
              </w:rPr>
            </w:pPr>
            <w:r>
              <w:rPr>
                <w:rFonts w:ascii="宋体" w:hAnsi="宋体"/>
                <w:szCs w:val="21"/>
                <w:highlight w:val="none"/>
              </w:rPr>
              <w:t>3.2.5</w:t>
            </w:r>
          </w:p>
        </w:tc>
        <w:tc>
          <w:tcPr>
            <w:tcW w:w="1666" w:type="pct"/>
            <w:noWrap w:val="0"/>
            <w:vAlign w:val="center"/>
          </w:tcPr>
          <w:p w14:paraId="567C8EB1">
            <w:pPr>
              <w:adjustRightInd w:val="0"/>
              <w:snapToGrid w:val="0"/>
              <w:jc w:val="center"/>
              <w:rPr>
                <w:rFonts w:ascii="宋体" w:hAnsi="宋体"/>
                <w:szCs w:val="21"/>
                <w:highlight w:val="none"/>
              </w:rPr>
            </w:pPr>
            <w:bookmarkStart w:id="59" w:name="OLE_LINK7"/>
            <w:r>
              <w:rPr>
                <w:rFonts w:ascii="宋体" w:hAnsi="宋体"/>
                <w:spacing w:val="-2"/>
                <w:szCs w:val="21"/>
                <w:highlight w:val="none"/>
              </w:rPr>
              <w:t>投标报价的其他要求</w:t>
            </w:r>
            <w:bookmarkEnd w:id="59"/>
          </w:p>
        </w:tc>
        <w:tc>
          <w:tcPr>
            <w:tcW w:w="2746" w:type="pct"/>
            <w:gridSpan w:val="2"/>
            <w:noWrap w:val="0"/>
            <w:vAlign w:val="center"/>
          </w:tcPr>
          <w:p w14:paraId="4A25FF86">
            <w:pPr>
              <w:pStyle w:val="16"/>
              <w:keepNext w:val="0"/>
              <w:keepLines w:val="0"/>
              <w:pageBreakBefore w:val="0"/>
              <w:widowControl w:val="0"/>
              <w:kinsoku/>
              <w:wordWrap/>
              <w:overflowPunct/>
              <w:topLinePunct w:val="0"/>
              <w:autoSpaceDE/>
              <w:autoSpaceDN/>
              <w:bidi w:val="0"/>
              <w:adjustRightInd w:val="0"/>
              <w:snapToGrid w:val="0"/>
              <w:spacing w:after="0"/>
              <w:textAlignment w:val="auto"/>
              <w:rPr>
                <w:rFonts w:hint="eastAsia" w:ascii="宋体" w:hAnsi="宋体" w:eastAsia="宋体" w:cs="宋体"/>
                <w:b w:val="0"/>
                <w:bCs/>
                <w:sz w:val="21"/>
                <w:szCs w:val="21"/>
                <w:highlight w:val="none"/>
                <w:lang w:eastAsia="zh-CN"/>
              </w:rPr>
            </w:pPr>
            <w:r>
              <w:rPr>
                <w:rFonts w:hint="eastAsia" w:ascii="宋体" w:hAnsi="宋体" w:eastAsia="宋体" w:cs="宋体"/>
                <w:b w:val="0"/>
                <w:bCs/>
                <w:sz w:val="21"/>
                <w:szCs w:val="21"/>
                <w:highlight w:val="none"/>
                <w:lang w:eastAsia="zh-CN"/>
              </w:rPr>
              <w:t>（</w:t>
            </w:r>
            <w:r>
              <w:rPr>
                <w:rFonts w:hint="eastAsia" w:ascii="宋体" w:hAnsi="宋体" w:eastAsia="宋体" w:cs="宋体"/>
                <w:b w:val="0"/>
                <w:bCs/>
                <w:sz w:val="21"/>
                <w:szCs w:val="21"/>
                <w:highlight w:val="none"/>
                <w:lang w:val="en-US" w:eastAsia="zh-CN"/>
              </w:rPr>
              <w:t>1</w:t>
            </w:r>
            <w:r>
              <w:rPr>
                <w:rFonts w:hint="eastAsia" w:ascii="宋体" w:hAnsi="宋体" w:eastAsia="宋体" w:cs="宋体"/>
                <w:b w:val="0"/>
                <w:bCs/>
                <w:sz w:val="21"/>
                <w:szCs w:val="21"/>
                <w:highlight w:val="none"/>
                <w:lang w:eastAsia="zh-CN"/>
              </w:rPr>
              <w:t>）投标人的投标报价应是投标人完成所有工作内容和提供完整的工作报告（成果）调查费、劳务费、咨询费、会务费（含专家评审费）、出版费、研究费、管理费、利润、税金等全部费用。</w:t>
            </w:r>
          </w:p>
          <w:p w14:paraId="49E8893E">
            <w:pPr>
              <w:pStyle w:val="16"/>
              <w:keepNext w:val="0"/>
              <w:keepLines w:val="0"/>
              <w:pageBreakBefore w:val="0"/>
              <w:widowControl w:val="0"/>
              <w:kinsoku/>
              <w:wordWrap/>
              <w:overflowPunct/>
              <w:topLinePunct w:val="0"/>
              <w:autoSpaceDE/>
              <w:autoSpaceDN/>
              <w:bidi w:val="0"/>
              <w:adjustRightInd w:val="0"/>
              <w:snapToGrid w:val="0"/>
              <w:spacing w:after="0"/>
              <w:textAlignment w:val="auto"/>
              <w:rPr>
                <w:rFonts w:hint="eastAsia" w:ascii="宋体" w:hAnsi="宋体" w:eastAsia="宋体" w:cs="宋体"/>
                <w:b w:val="0"/>
                <w:bCs/>
                <w:sz w:val="21"/>
                <w:szCs w:val="21"/>
                <w:highlight w:val="none"/>
                <w:lang w:eastAsia="zh-CN"/>
              </w:rPr>
            </w:pPr>
            <w:r>
              <w:rPr>
                <w:rFonts w:hint="eastAsia" w:ascii="宋体" w:hAnsi="宋体" w:eastAsia="宋体" w:cs="宋体"/>
                <w:b w:val="0"/>
                <w:bCs/>
                <w:sz w:val="21"/>
                <w:szCs w:val="21"/>
                <w:highlight w:val="none"/>
                <w:lang w:eastAsia="zh-CN"/>
              </w:rPr>
              <w:t>本项目为总价合同，合同协议书一经签订，除合同另有明确规定外，合同价一概不予调整。</w:t>
            </w:r>
          </w:p>
          <w:p w14:paraId="7EEED1C8">
            <w:pPr>
              <w:pStyle w:val="16"/>
              <w:keepNext w:val="0"/>
              <w:keepLines w:val="0"/>
              <w:pageBreakBefore w:val="0"/>
              <w:widowControl w:val="0"/>
              <w:kinsoku/>
              <w:wordWrap/>
              <w:overflowPunct/>
              <w:topLinePunct w:val="0"/>
              <w:autoSpaceDE/>
              <w:autoSpaceDN/>
              <w:bidi w:val="0"/>
              <w:adjustRightInd w:val="0"/>
              <w:snapToGrid w:val="0"/>
              <w:spacing w:after="0"/>
              <w:textAlignment w:val="auto"/>
              <w:rPr>
                <w:rFonts w:hint="eastAsia" w:ascii="宋体" w:hAnsi="宋体" w:eastAsia="宋体" w:cs="宋体"/>
                <w:b w:val="0"/>
                <w:bCs/>
                <w:sz w:val="21"/>
                <w:szCs w:val="21"/>
                <w:highlight w:val="none"/>
              </w:rPr>
            </w:pPr>
            <w:r>
              <w:rPr>
                <w:rFonts w:hint="eastAsia" w:ascii="宋体" w:hAnsi="宋体" w:eastAsia="宋体" w:cs="宋体"/>
                <w:b w:val="0"/>
                <w:bCs/>
                <w:sz w:val="21"/>
                <w:szCs w:val="21"/>
                <w:highlight w:val="none"/>
              </w:rPr>
              <w:t>（</w:t>
            </w:r>
            <w:r>
              <w:rPr>
                <w:rFonts w:hint="eastAsia" w:ascii="宋体" w:hAnsi="宋体" w:eastAsia="宋体" w:cs="宋体"/>
                <w:b w:val="0"/>
                <w:bCs/>
                <w:sz w:val="21"/>
                <w:szCs w:val="21"/>
                <w:highlight w:val="none"/>
                <w:lang w:val="en-US" w:eastAsia="zh-CN"/>
              </w:rPr>
              <w:t>2</w:t>
            </w:r>
            <w:r>
              <w:rPr>
                <w:rFonts w:hint="eastAsia" w:ascii="宋体" w:hAnsi="宋体" w:eastAsia="宋体" w:cs="宋体"/>
                <w:b w:val="0"/>
                <w:bCs/>
                <w:sz w:val="21"/>
                <w:szCs w:val="21"/>
                <w:highlight w:val="none"/>
              </w:rPr>
              <w:t>）</w:t>
            </w:r>
            <w:r>
              <w:rPr>
                <w:rFonts w:hint="eastAsia" w:ascii="宋体" w:hAnsi="宋体" w:cs="宋体"/>
                <w:kern w:val="0"/>
                <w:szCs w:val="21"/>
                <w:highlight w:val="none"/>
              </w:rPr>
              <w:t>本项目招标人不提供任何设施与物品，中标人（即本项目服务单位）的现场生活、办公用房，办公、生活设施以及交通、水电、通讯等问题由投标人在投标报价时自行考虑。</w:t>
            </w:r>
          </w:p>
          <w:p w14:paraId="08EEC3F8">
            <w:pPr>
              <w:pStyle w:val="16"/>
              <w:keepNext w:val="0"/>
              <w:keepLines w:val="0"/>
              <w:pageBreakBefore w:val="0"/>
              <w:widowControl w:val="0"/>
              <w:kinsoku/>
              <w:wordWrap/>
              <w:overflowPunct/>
              <w:topLinePunct w:val="0"/>
              <w:autoSpaceDE/>
              <w:autoSpaceDN/>
              <w:bidi w:val="0"/>
              <w:adjustRightInd w:val="0"/>
              <w:snapToGrid w:val="0"/>
              <w:spacing w:after="0"/>
              <w:textAlignment w:val="auto"/>
              <w:rPr>
                <w:rFonts w:hint="eastAsia" w:ascii="宋体" w:hAnsi="宋体" w:eastAsia="宋体" w:cs="宋体"/>
                <w:b w:val="0"/>
                <w:bCs/>
                <w:sz w:val="21"/>
                <w:szCs w:val="21"/>
                <w:highlight w:val="none"/>
              </w:rPr>
            </w:pPr>
            <w:r>
              <w:rPr>
                <w:rFonts w:hint="eastAsia" w:ascii="宋体" w:hAnsi="宋体" w:eastAsia="宋体" w:cs="宋体"/>
                <w:b w:val="0"/>
                <w:bCs/>
                <w:sz w:val="21"/>
                <w:szCs w:val="21"/>
                <w:highlight w:val="none"/>
              </w:rPr>
              <w:t>（</w:t>
            </w:r>
            <w:r>
              <w:rPr>
                <w:rFonts w:hint="eastAsia" w:ascii="宋体" w:hAnsi="宋体" w:eastAsia="宋体" w:cs="宋体"/>
                <w:b w:val="0"/>
                <w:bCs/>
                <w:sz w:val="21"/>
                <w:szCs w:val="21"/>
                <w:highlight w:val="none"/>
                <w:lang w:val="en-US" w:eastAsia="zh-CN"/>
              </w:rPr>
              <w:t>3</w:t>
            </w:r>
            <w:r>
              <w:rPr>
                <w:rFonts w:hint="eastAsia" w:ascii="宋体" w:hAnsi="宋体" w:eastAsia="宋体" w:cs="宋体"/>
                <w:b w:val="0"/>
                <w:bCs/>
                <w:sz w:val="21"/>
                <w:szCs w:val="21"/>
                <w:highlight w:val="none"/>
              </w:rPr>
              <w:t>）投标人应为投入的工作人员进行必要的安全教育，配备必要的安全装备，并为相关现场服务人员投保并承担费用，相关费用在投标报价中充分考虑。</w:t>
            </w:r>
          </w:p>
          <w:p w14:paraId="50268F1C">
            <w:pPr>
              <w:pStyle w:val="16"/>
              <w:keepNext w:val="0"/>
              <w:keepLines w:val="0"/>
              <w:pageBreakBefore w:val="0"/>
              <w:widowControl w:val="0"/>
              <w:kinsoku/>
              <w:wordWrap/>
              <w:overflowPunct/>
              <w:topLinePunct w:val="0"/>
              <w:autoSpaceDE/>
              <w:autoSpaceDN/>
              <w:bidi w:val="0"/>
              <w:adjustRightInd w:val="0"/>
              <w:snapToGrid w:val="0"/>
              <w:spacing w:after="0"/>
              <w:textAlignment w:val="auto"/>
              <w:rPr>
                <w:rFonts w:hint="eastAsia" w:ascii="宋体" w:hAnsi="宋体" w:eastAsia="宋体" w:cs="宋体"/>
                <w:b w:val="0"/>
                <w:bCs/>
                <w:sz w:val="21"/>
                <w:szCs w:val="21"/>
                <w:highlight w:val="none"/>
              </w:rPr>
            </w:pPr>
            <w:r>
              <w:rPr>
                <w:rFonts w:hint="eastAsia" w:ascii="宋体" w:hAnsi="宋体" w:eastAsia="宋体" w:cs="宋体"/>
                <w:b w:val="0"/>
                <w:bCs/>
                <w:sz w:val="21"/>
                <w:szCs w:val="21"/>
                <w:highlight w:val="none"/>
              </w:rPr>
              <w:t>（</w:t>
            </w:r>
            <w:r>
              <w:rPr>
                <w:rFonts w:hint="eastAsia" w:ascii="宋体" w:hAnsi="宋体" w:eastAsia="宋体" w:cs="宋体"/>
                <w:b w:val="0"/>
                <w:bCs/>
                <w:sz w:val="21"/>
                <w:szCs w:val="21"/>
                <w:highlight w:val="none"/>
                <w:lang w:val="en-US" w:eastAsia="zh-CN"/>
              </w:rPr>
              <w:t>4</w:t>
            </w:r>
            <w:r>
              <w:rPr>
                <w:rFonts w:hint="eastAsia" w:ascii="宋体" w:hAnsi="宋体" w:eastAsia="宋体" w:cs="宋体"/>
                <w:b w:val="0"/>
                <w:bCs/>
                <w:sz w:val="21"/>
                <w:szCs w:val="21"/>
                <w:highlight w:val="none"/>
              </w:rPr>
              <w:t>）本项目实施期间，为完成合同工作内容所涉一切工作均应由中标人负责并承担费用；为便于工作的开展，发包人可提供一定的协助，由此所发生的一切相关费用均由中标人承担，投标人在投标报价时应予充分考虑。</w:t>
            </w:r>
          </w:p>
          <w:p w14:paraId="54A62A8E">
            <w:pPr>
              <w:pStyle w:val="16"/>
              <w:keepNext w:val="0"/>
              <w:keepLines w:val="0"/>
              <w:pageBreakBefore w:val="0"/>
              <w:widowControl w:val="0"/>
              <w:kinsoku/>
              <w:wordWrap/>
              <w:overflowPunct/>
              <w:topLinePunct w:val="0"/>
              <w:autoSpaceDE/>
              <w:autoSpaceDN/>
              <w:bidi w:val="0"/>
              <w:adjustRightInd w:val="0"/>
              <w:snapToGrid w:val="0"/>
              <w:spacing w:after="0"/>
              <w:textAlignment w:val="auto"/>
              <w:rPr>
                <w:rFonts w:hint="eastAsia" w:ascii="宋体" w:hAnsi="宋体" w:eastAsia="宋体" w:cs="宋体"/>
                <w:b w:val="0"/>
                <w:bCs/>
                <w:sz w:val="21"/>
                <w:szCs w:val="21"/>
                <w:highlight w:val="none"/>
              </w:rPr>
            </w:pPr>
            <w:r>
              <w:rPr>
                <w:rFonts w:hint="eastAsia" w:ascii="宋体" w:hAnsi="宋体" w:eastAsia="宋体" w:cs="宋体"/>
                <w:b w:val="0"/>
                <w:bCs/>
                <w:sz w:val="21"/>
                <w:szCs w:val="21"/>
                <w:highlight w:val="none"/>
                <w:lang w:eastAsia="zh-CN"/>
              </w:rPr>
              <w:t>（</w:t>
            </w:r>
            <w:r>
              <w:rPr>
                <w:rFonts w:hint="eastAsia" w:ascii="宋体" w:hAnsi="宋体" w:eastAsia="宋体" w:cs="宋体"/>
                <w:b w:val="0"/>
                <w:bCs/>
                <w:sz w:val="21"/>
                <w:szCs w:val="21"/>
                <w:highlight w:val="none"/>
                <w:lang w:val="en-US" w:eastAsia="zh-CN"/>
              </w:rPr>
              <w:t>5</w:t>
            </w:r>
            <w:r>
              <w:rPr>
                <w:rFonts w:hint="eastAsia" w:ascii="宋体" w:hAnsi="宋体" w:eastAsia="宋体" w:cs="宋体"/>
                <w:b w:val="0"/>
                <w:bCs/>
                <w:sz w:val="21"/>
                <w:szCs w:val="21"/>
                <w:highlight w:val="none"/>
                <w:lang w:eastAsia="zh-CN"/>
              </w:rPr>
              <w:t>）</w:t>
            </w:r>
            <w:r>
              <w:rPr>
                <w:rFonts w:hint="eastAsia" w:ascii="宋体" w:hAnsi="宋体" w:eastAsia="宋体" w:cs="宋体"/>
                <w:b w:val="0"/>
                <w:bCs/>
                <w:sz w:val="21"/>
                <w:szCs w:val="21"/>
                <w:highlight w:val="none"/>
              </w:rPr>
              <w:t>中标人应保证不会侵犯任何第三方知识产权（含因开发需要采购的中间件、操作系统等平台软件）。若出现争议，一律由中标人承担全部责任，由此发生的一切费用均由中标人承担。</w:t>
            </w:r>
          </w:p>
          <w:p w14:paraId="65A8B06F">
            <w:pPr>
              <w:pStyle w:val="16"/>
              <w:keepNext w:val="0"/>
              <w:keepLines w:val="0"/>
              <w:pageBreakBefore w:val="0"/>
              <w:widowControl w:val="0"/>
              <w:kinsoku/>
              <w:wordWrap/>
              <w:overflowPunct/>
              <w:topLinePunct w:val="0"/>
              <w:autoSpaceDE/>
              <w:autoSpaceDN/>
              <w:bidi w:val="0"/>
              <w:adjustRightInd w:val="0"/>
              <w:snapToGrid w:val="0"/>
              <w:spacing w:after="0"/>
              <w:textAlignment w:val="auto"/>
              <w:rPr>
                <w:rFonts w:hint="eastAsia" w:ascii="宋体" w:hAnsi="宋体" w:eastAsia="宋体" w:cs="宋体"/>
                <w:b w:val="0"/>
                <w:bCs/>
                <w:sz w:val="21"/>
                <w:szCs w:val="21"/>
                <w:highlight w:val="none"/>
              </w:rPr>
            </w:pPr>
            <w:r>
              <w:rPr>
                <w:rFonts w:hint="eastAsia" w:ascii="宋体" w:hAnsi="宋体" w:eastAsia="宋体" w:cs="宋体"/>
                <w:b w:val="0"/>
                <w:bCs/>
                <w:sz w:val="21"/>
                <w:szCs w:val="21"/>
                <w:highlight w:val="none"/>
              </w:rPr>
              <w:t>本项目服务内容所涉的所有的成果文件获得批准实施前，任何单位和个人未经同意都无权以任何形式向第三方和社会公开展示成果。</w:t>
            </w:r>
          </w:p>
          <w:p w14:paraId="3E0DBAB3">
            <w:pPr>
              <w:pStyle w:val="16"/>
              <w:keepNext w:val="0"/>
              <w:keepLines w:val="0"/>
              <w:pageBreakBefore w:val="0"/>
              <w:widowControl w:val="0"/>
              <w:kinsoku/>
              <w:wordWrap/>
              <w:overflowPunct/>
              <w:topLinePunct w:val="0"/>
              <w:autoSpaceDE/>
              <w:autoSpaceDN/>
              <w:bidi w:val="0"/>
              <w:adjustRightInd w:val="0"/>
              <w:snapToGrid w:val="0"/>
              <w:spacing w:after="0"/>
              <w:textAlignment w:val="auto"/>
              <w:rPr>
                <w:rFonts w:hint="eastAsia" w:ascii="宋体" w:hAnsi="宋体" w:eastAsia="宋体" w:cs="宋体"/>
                <w:b w:val="0"/>
                <w:bCs/>
                <w:sz w:val="21"/>
                <w:szCs w:val="21"/>
                <w:highlight w:val="none"/>
              </w:rPr>
            </w:pPr>
            <w:r>
              <w:rPr>
                <w:rFonts w:hint="eastAsia" w:ascii="宋体" w:hAnsi="宋体" w:eastAsia="宋体" w:cs="宋体"/>
                <w:b w:val="0"/>
                <w:bCs/>
                <w:sz w:val="21"/>
                <w:szCs w:val="21"/>
                <w:highlight w:val="none"/>
                <w:lang w:eastAsia="zh-CN"/>
              </w:rPr>
              <w:t>（</w:t>
            </w:r>
            <w:r>
              <w:rPr>
                <w:rFonts w:hint="eastAsia" w:ascii="宋体" w:hAnsi="宋体" w:eastAsia="宋体" w:cs="宋体"/>
                <w:b w:val="0"/>
                <w:bCs/>
                <w:sz w:val="21"/>
                <w:szCs w:val="21"/>
                <w:highlight w:val="none"/>
                <w:lang w:val="en-US" w:eastAsia="zh-CN"/>
              </w:rPr>
              <w:t>6</w:t>
            </w:r>
            <w:r>
              <w:rPr>
                <w:rFonts w:hint="eastAsia" w:ascii="宋体" w:hAnsi="宋体" w:eastAsia="宋体" w:cs="宋体"/>
                <w:b w:val="0"/>
                <w:bCs/>
                <w:sz w:val="21"/>
                <w:szCs w:val="21"/>
                <w:highlight w:val="none"/>
                <w:lang w:eastAsia="zh-CN"/>
              </w:rPr>
              <w:t>）</w:t>
            </w:r>
            <w:r>
              <w:rPr>
                <w:rFonts w:hint="eastAsia" w:ascii="宋体" w:hAnsi="宋体" w:eastAsia="宋体" w:cs="宋体"/>
                <w:b w:val="0"/>
                <w:bCs/>
                <w:sz w:val="21"/>
                <w:szCs w:val="21"/>
                <w:highlight w:val="none"/>
              </w:rPr>
              <w:t>投标人应自行编制完成相应咨询项目所必需的各分项工作内容及其分项费用（包括专题研究以及咨询费用等其它费用在内的全过程一切费用）的报价清单。对投标人在报价清单中没有列入的项目，业主认为其费用已包含在其他项目报价之中。</w:t>
            </w:r>
          </w:p>
          <w:p w14:paraId="510ACDA4">
            <w:pPr>
              <w:pStyle w:val="16"/>
              <w:keepNext w:val="0"/>
              <w:keepLines w:val="0"/>
              <w:pageBreakBefore w:val="0"/>
              <w:widowControl w:val="0"/>
              <w:kinsoku/>
              <w:wordWrap/>
              <w:overflowPunct/>
              <w:topLinePunct w:val="0"/>
              <w:autoSpaceDE/>
              <w:autoSpaceDN/>
              <w:bidi w:val="0"/>
              <w:adjustRightInd w:val="0"/>
              <w:snapToGrid w:val="0"/>
              <w:textAlignment w:val="auto"/>
              <w:rPr>
                <w:rFonts w:hint="eastAsia" w:hAnsi="宋体" w:eastAsia="宋体"/>
                <w:b w:val="0"/>
                <w:bCs/>
                <w:sz w:val="21"/>
                <w:szCs w:val="21"/>
                <w:highlight w:val="none"/>
                <w:lang w:eastAsia="zh-CN"/>
              </w:rPr>
            </w:pPr>
            <w:r>
              <w:rPr>
                <w:rFonts w:hint="eastAsia" w:ascii="宋体" w:hAnsi="宋体" w:eastAsia="宋体" w:cs="宋体"/>
                <w:b w:val="0"/>
                <w:bCs/>
                <w:sz w:val="21"/>
                <w:szCs w:val="21"/>
                <w:highlight w:val="none"/>
              </w:rPr>
              <w:t>（</w:t>
            </w:r>
            <w:r>
              <w:rPr>
                <w:rFonts w:hint="eastAsia" w:ascii="宋体" w:hAnsi="宋体" w:eastAsia="宋体" w:cs="宋体"/>
                <w:b w:val="0"/>
                <w:bCs/>
                <w:sz w:val="21"/>
                <w:szCs w:val="21"/>
                <w:highlight w:val="none"/>
                <w:lang w:val="en-US" w:eastAsia="zh-CN"/>
              </w:rPr>
              <w:t>7</w:t>
            </w:r>
            <w:r>
              <w:rPr>
                <w:rFonts w:hint="eastAsia" w:ascii="宋体" w:hAnsi="宋体" w:eastAsia="宋体" w:cs="宋体"/>
                <w:b w:val="0"/>
                <w:bCs/>
                <w:sz w:val="21"/>
                <w:szCs w:val="21"/>
                <w:highlight w:val="none"/>
              </w:rPr>
              <w:t>）为完成本招标文件规定的义务，投标人认为有必要计入的其它费用</w:t>
            </w:r>
            <w:r>
              <w:rPr>
                <w:rFonts w:hint="eastAsia" w:ascii="宋体" w:hAnsi="宋体" w:eastAsia="宋体" w:cs="宋体"/>
                <w:b w:val="0"/>
                <w:bCs/>
                <w:sz w:val="21"/>
                <w:szCs w:val="21"/>
                <w:highlight w:val="none"/>
                <w:lang w:eastAsia="zh-CN"/>
              </w:rPr>
              <w:t>。</w:t>
            </w:r>
          </w:p>
        </w:tc>
      </w:tr>
      <w:tr w14:paraId="30265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2A7EF63B">
            <w:pPr>
              <w:adjustRightInd w:val="0"/>
              <w:snapToGrid w:val="0"/>
              <w:jc w:val="center"/>
              <w:rPr>
                <w:rFonts w:ascii="宋体" w:hAnsi="宋体"/>
                <w:szCs w:val="21"/>
                <w:highlight w:val="none"/>
              </w:rPr>
            </w:pPr>
            <w:r>
              <w:rPr>
                <w:rFonts w:ascii="宋体" w:hAnsi="宋体"/>
                <w:szCs w:val="21"/>
                <w:highlight w:val="none"/>
              </w:rPr>
              <w:t>3.3.1</w:t>
            </w:r>
          </w:p>
        </w:tc>
        <w:tc>
          <w:tcPr>
            <w:tcW w:w="1666" w:type="pct"/>
            <w:noWrap w:val="0"/>
            <w:vAlign w:val="center"/>
          </w:tcPr>
          <w:p w14:paraId="2846CF88">
            <w:pPr>
              <w:adjustRightInd w:val="0"/>
              <w:snapToGrid w:val="0"/>
              <w:jc w:val="center"/>
              <w:rPr>
                <w:rFonts w:ascii="宋体" w:hAnsi="宋体"/>
                <w:szCs w:val="21"/>
                <w:highlight w:val="none"/>
              </w:rPr>
            </w:pPr>
            <w:r>
              <w:rPr>
                <w:rFonts w:ascii="宋体" w:hAnsi="宋体"/>
                <w:szCs w:val="21"/>
                <w:highlight w:val="none"/>
              </w:rPr>
              <w:t>投标有效期</w:t>
            </w:r>
          </w:p>
        </w:tc>
        <w:tc>
          <w:tcPr>
            <w:tcW w:w="2746" w:type="pct"/>
            <w:gridSpan w:val="2"/>
            <w:noWrap w:val="0"/>
            <w:vAlign w:val="center"/>
          </w:tcPr>
          <w:p w14:paraId="2238016C">
            <w:pPr>
              <w:adjustRightInd w:val="0"/>
              <w:snapToGrid w:val="0"/>
              <w:rPr>
                <w:rFonts w:ascii="宋体" w:hAnsi="宋体"/>
                <w:szCs w:val="21"/>
                <w:highlight w:val="none"/>
              </w:rPr>
            </w:pPr>
            <w:r>
              <w:rPr>
                <w:rFonts w:ascii="宋体" w:hAnsi="宋体"/>
                <w:szCs w:val="21"/>
                <w:highlight w:val="none"/>
              </w:rPr>
              <w:t>自投标人提交投标文件截止之日起计算90日</w:t>
            </w:r>
          </w:p>
        </w:tc>
      </w:tr>
      <w:tr w14:paraId="339B6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5C0CC852">
            <w:pPr>
              <w:adjustRightInd w:val="0"/>
              <w:snapToGrid w:val="0"/>
              <w:jc w:val="center"/>
              <w:rPr>
                <w:rFonts w:ascii="宋体" w:hAnsi="宋体"/>
                <w:szCs w:val="21"/>
                <w:highlight w:val="none"/>
              </w:rPr>
            </w:pPr>
            <w:r>
              <w:rPr>
                <w:rFonts w:hint="eastAsia" w:ascii="宋体" w:hAnsi="宋体"/>
                <w:szCs w:val="21"/>
                <w:highlight w:val="none"/>
              </w:rPr>
              <w:t>3.4.1</w:t>
            </w:r>
          </w:p>
        </w:tc>
        <w:tc>
          <w:tcPr>
            <w:tcW w:w="1666" w:type="pct"/>
            <w:noWrap w:val="0"/>
            <w:vAlign w:val="center"/>
          </w:tcPr>
          <w:p w14:paraId="24FCE3DF">
            <w:pPr>
              <w:adjustRightInd w:val="0"/>
              <w:snapToGrid w:val="0"/>
              <w:jc w:val="center"/>
              <w:rPr>
                <w:rFonts w:ascii="宋体" w:hAnsi="宋体"/>
                <w:szCs w:val="21"/>
                <w:highlight w:val="none"/>
              </w:rPr>
            </w:pPr>
            <w:r>
              <w:rPr>
                <w:rFonts w:ascii="宋体" w:hAnsi="宋体"/>
                <w:szCs w:val="21"/>
                <w:highlight w:val="none"/>
              </w:rPr>
              <w:t>投标保证金</w:t>
            </w:r>
          </w:p>
        </w:tc>
        <w:tc>
          <w:tcPr>
            <w:tcW w:w="2746" w:type="pct"/>
            <w:gridSpan w:val="2"/>
            <w:noWrap w:val="0"/>
            <w:vAlign w:val="center"/>
          </w:tcPr>
          <w:p w14:paraId="74C0D85C">
            <w:pPr>
              <w:pStyle w:val="15"/>
              <w:keepNext w:val="0"/>
              <w:keepLines w:val="0"/>
              <w:pageBreakBefore w:val="0"/>
              <w:kinsoku/>
              <w:wordWrap/>
              <w:overflowPunct/>
              <w:topLinePunct/>
              <w:bidi w:val="0"/>
              <w:adjustRightInd w:val="0"/>
              <w:snapToGrid w:val="0"/>
              <w:spacing w:after="0"/>
              <w:textAlignment w:val="auto"/>
              <w:rPr>
                <w:rFonts w:hint="eastAsia" w:ascii="宋体" w:hAnsi="宋体" w:eastAsia="宋体" w:cs="宋体"/>
                <w:position w:val="0"/>
                <w:sz w:val="21"/>
                <w:szCs w:val="21"/>
                <w:highlight w:val="none"/>
              </w:rPr>
            </w:pPr>
            <w:r>
              <w:rPr>
                <w:rFonts w:hint="eastAsia" w:ascii="宋体" w:hAnsi="宋体" w:eastAsia="宋体" w:cs="宋体"/>
                <w:position w:val="0"/>
                <w:sz w:val="21"/>
                <w:szCs w:val="21"/>
                <w:highlight w:val="none"/>
              </w:rPr>
              <w:t xml:space="preserve">是否要求投标人递交投标保证金： </w:t>
            </w:r>
          </w:p>
          <w:p w14:paraId="6CB8EA94">
            <w:pPr>
              <w:keepNext w:val="0"/>
              <w:keepLines w:val="0"/>
              <w:pageBreakBefore w:val="0"/>
              <w:widowControl/>
              <w:kinsoku/>
              <w:wordWrap/>
              <w:overflowPunct/>
              <w:autoSpaceDE w:val="0"/>
              <w:autoSpaceDN w:val="0"/>
              <w:bidi w:val="0"/>
              <w:adjustRightInd w:val="0"/>
              <w:snapToGrid w:val="0"/>
              <w:jc w:val="left"/>
              <w:textAlignment w:val="auto"/>
              <w:rPr>
                <w:rFonts w:hint="eastAsia" w:ascii="宋体" w:hAnsi="宋体" w:eastAsia="宋体" w:cs="宋体"/>
                <w:position w:val="0"/>
                <w:sz w:val="21"/>
                <w:szCs w:val="21"/>
                <w:highlight w:val="none"/>
              </w:rPr>
            </w:pPr>
            <w:r>
              <w:rPr>
                <w:rFonts w:hint="eastAsia" w:ascii="宋体" w:hAnsi="宋体" w:eastAsia="宋体" w:cs="宋体"/>
                <w:position w:val="0"/>
                <w:sz w:val="21"/>
                <w:szCs w:val="21"/>
                <w:highlight w:val="none"/>
              </w:rPr>
              <w:fldChar w:fldCharType="begin"/>
            </w:r>
            <w:r>
              <w:rPr>
                <w:rFonts w:hint="eastAsia" w:ascii="宋体" w:hAnsi="宋体" w:eastAsia="宋体" w:cs="宋体"/>
                <w:position w:val="0"/>
                <w:sz w:val="21"/>
                <w:szCs w:val="21"/>
                <w:highlight w:val="none"/>
              </w:rPr>
              <w:instrText xml:space="preserve"> eq \o\ac(</w:instrText>
            </w:r>
            <w:r>
              <w:rPr>
                <w:rFonts w:hint="eastAsia" w:ascii="宋体" w:hAnsi="宋体" w:eastAsia="宋体" w:cs="宋体"/>
                <w:position w:val="0"/>
                <w:sz w:val="31"/>
                <w:szCs w:val="21"/>
                <w:highlight w:val="none"/>
              </w:rPr>
              <w:instrText xml:space="preserve">□</w:instrText>
            </w:r>
            <w:r>
              <w:rPr>
                <w:rFonts w:hint="eastAsia" w:ascii="宋体" w:hAnsi="宋体" w:cs="宋体"/>
                <w:position w:val="0"/>
                <w:sz w:val="31"/>
                <w:szCs w:val="21"/>
                <w:highlight w:val="none"/>
                <w:lang w:eastAsia="zh-CN"/>
              </w:rPr>
              <w:instrText xml:space="preserve">,</w:instrText>
            </w:r>
            <w:r>
              <w:rPr>
                <w:rFonts w:hint="eastAsia" w:ascii="宋体" w:hAnsi="宋体" w:cs="宋体"/>
                <w:position w:val="3"/>
                <w:sz w:val="21"/>
                <w:szCs w:val="21"/>
                <w:highlight w:val="none"/>
                <w:lang w:eastAsia="zh-CN"/>
              </w:rPr>
              <w:instrText xml:space="preserve">√</w:instrText>
            </w:r>
            <w:r>
              <w:rPr>
                <w:rFonts w:hint="eastAsia" w:ascii="宋体" w:hAnsi="宋体" w:eastAsia="宋体" w:cs="宋体"/>
                <w:position w:val="0"/>
                <w:sz w:val="21"/>
                <w:szCs w:val="21"/>
                <w:highlight w:val="none"/>
              </w:rPr>
              <w:instrText xml:space="preserve">)</w:instrText>
            </w:r>
            <w:r>
              <w:rPr>
                <w:rFonts w:hint="eastAsia" w:ascii="宋体" w:hAnsi="宋体" w:eastAsia="宋体" w:cs="宋体"/>
                <w:position w:val="0"/>
                <w:sz w:val="21"/>
                <w:szCs w:val="21"/>
                <w:highlight w:val="none"/>
              </w:rPr>
              <w:fldChar w:fldCharType="end"/>
            </w:r>
            <w:bookmarkStart w:id="60" w:name="OLE_LINK28"/>
            <w:r>
              <w:rPr>
                <w:rFonts w:hint="eastAsia" w:ascii="宋体" w:hAnsi="宋体" w:eastAsia="宋体" w:cs="宋体"/>
                <w:position w:val="0"/>
                <w:sz w:val="21"/>
                <w:szCs w:val="21"/>
                <w:highlight w:val="none"/>
              </w:rPr>
              <w:t>要求</w:t>
            </w:r>
            <w:bookmarkEnd w:id="60"/>
          </w:p>
          <w:p w14:paraId="7F83E397">
            <w:pPr>
              <w:keepNext w:val="0"/>
              <w:keepLines w:val="0"/>
              <w:pageBreakBefore w:val="0"/>
              <w:widowControl/>
              <w:kinsoku/>
              <w:wordWrap/>
              <w:overflowPunct/>
              <w:autoSpaceDE w:val="0"/>
              <w:autoSpaceDN w:val="0"/>
              <w:bidi w:val="0"/>
              <w:adjustRightInd w:val="0"/>
              <w:snapToGrid w:val="0"/>
              <w:jc w:val="left"/>
              <w:textAlignment w:val="auto"/>
              <w:rPr>
                <w:rFonts w:hint="eastAsia" w:ascii="宋体" w:hAnsi="宋体" w:eastAsia="宋体" w:cs="宋体"/>
                <w:b/>
                <w:bCs/>
                <w:color w:val="000000"/>
                <w:position w:val="0"/>
                <w:sz w:val="21"/>
                <w:szCs w:val="21"/>
                <w:highlight w:val="none"/>
              </w:rPr>
            </w:pPr>
            <w:r>
              <w:rPr>
                <w:rFonts w:hint="eastAsia" w:ascii="宋体" w:hAnsi="宋体" w:eastAsia="宋体" w:cs="宋体"/>
                <w:b/>
                <w:bCs/>
                <w:color w:val="000000"/>
                <w:position w:val="0"/>
                <w:sz w:val="21"/>
                <w:szCs w:val="21"/>
                <w:highlight w:val="none"/>
              </w:rPr>
              <w:t>一、投标保证金的金额：</w:t>
            </w:r>
            <w:r>
              <w:rPr>
                <w:rFonts w:hint="eastAsia" w:ascii="宋体" w:hAnsi="宋体" w:eastAsia="宋体" w:cs="宋体"/>
                <w:b/>
                <w:bCs/>
                <w:color w:val="000000"/>
                <w:position w:val="0"/>
                <w:sz w:val="21"/>
                <w:szCs w:val="21"/>
                <w:highlight w:val="none"/>
                <w:lang w:val="en-US" w:eastAsia="zh-CN"/>
              </w:rPr>
              <w:t>伍仟</w:t>
            </w:r>
            <w:r>
              <w:rPr>
                <w:rFonts w:hint="eastAsia" w:ascii="宋体" w:hAnsi="宋体" w:eastAsia="宋体" w:cs="宋体"/>
                <w:b/>
                <w:bCs/>
                <w:color w:val="000000"/>
                <w:position w:val="0"/>
                <w:sz w:val="21"/>
                <w:szCs w:val="21"/>
                <w:highlight w:val="none"/>
              </w:rPr>
              <w:t>元。投标人在最近一次江苏省公路水路建设市场从业单位信用评定结果中的信用等级为AA级的投标保证金减少50％，被列入最近一次江苏省公路水运建设市场守信激励主体对象名单（红名单）的从业单位免缴投标保证金。</w:t>
            </w:r>
            <w:r>
              <w:rPr>
                <w:rFonts w:hint="eastAsia" w:ascii="宋体" w:hAnsi="宋体" w:cs="宋体"/>
                <w:b/>
                <w:bCs/>
                <w:color w:val="000000"/>
                <w:position w:val="0"/>
                <w:sz w:val="21"/>
                <w:szCs w:val="21"/>
                <w:highlight w:val="none"/>
                <w:lang w:eastAsia="zh-CN"/>
              </w:rPr>
              <w:t>（</w:t>
            </w:r>
            <w:r>
              <w:rPr>
                <w:rFonts w:hint="eastAsia" w:ascii="宋体" w:hAnsi="宋体" w:cs="宋体"/>
                <w:b/>
                <w:bCs/>
                <w:color w:val="000000"/>
                <w:position w:val="0"/>
                <w:sz w:val="21"/>
                <w:szCs w:val="21"/>
                <w:highlight w:val="none"/>
                <w:lang w:val="en-US" w:eastAsia="zh-CN"/>
              </w:rPr>
              <w:t>类型:</w:t>
            </w:r>
            <w:r>
              <w:rPr>
                <w:rFonts w:hint="eastAsia" w:ascii="宋体" w:hAnsi="宋体" w:eastAsia="宋体" w:cs="宋体"/>
                <w:b/>
                <w:szCs w:val="21"/>
                <w:highlight w:val="none"/>
                <w:u w:val="none"/>
                <w:lang w:val="en-US" w:eastAsia="zh-CN"/>
              </w:rPr>
              <w:t>服务类</w:t>
            </w:r>
            <w:r>
              <w:rPr>
                <w:rFonts w:hint="eastAsia" w:ascii="宋体" w:hAnsi="宋体" w:cs="宋体"/>
                <w:b/>
                <w:bCs/>
                <w:color w:val="000000"/>
                <w:position w:val="0"/>
                <w:sz w:val="21"/>
                <w:szCs w:val="21"/>
                <w:highlight w:val="none"/>
                <w:lang w:eastAsia="zh-CN"/>
              </w:rPr>
              <w:t>）</w:t>
            </w:r>
          </w:p>
          <w:p w14:paraId="7215717B">
            <w:pPr>
              <w:keepNext w:val="0"/>
              <w:keepLines w:val="0"/>
              <w:pageBreakBefore w:val="0"/>
              <w:widowControl/>
              <w:kinsoku/>
              <w:wordWrap/>
              <w:overflowPunct/>
              <w:autoSpaceDE w:val="0"/>
              <w:autoSpaceDN w:val="0"/>
              <w:bidi w:val="0"/>
              <w:adjustRightInd w:val="0"/>
              <w:snapToGrid w:val="0"/>
              <w:jc w:val="left"/>
              <w:textAlignment w:val="auto"/>
              <w:rPr>
                <w:rFonts w:hint="eastAsia" w:ascii="宋体" w:hAnsi="宋体" w:eastAsia="宋体" w:cs="宋体"/>
                <w:b/>
                <w:bCs/>
                <w:color w:val="000000"/>
                <w:position w:val="0"/>
                <w:sz w:val="21"/>
                <w:szCs w:val="21"/>
                <w:highlight w:val="none"/>
              </w:rPr>
            </w:pPr>
            <w:r>
              <w:rPr>
                <w:rFonts w:hint="eastAsia" w:ascii="宋体" w:hAnsi="宋体" w:eastAsia="宋体" w:cs="宋体"/>
                <w:b/>
                <w:bCs/>
                <w:color w:val="000000"/>
                <w:position w:val="0"/>
                <w:sz w:val="21"/>
                <w:szCs w:val="21"/>
                <w:highlight w:val="none"/>
              </w:rPr>
              <w:t>二、投标保证金递交形式：</w:t>
            </w:r>
          </w:p>
          <w:p w14:paraId="7A8A4754">
            <w:pPr>
              <w:keepNext w:val="0"/>
              <w:keepLines w:val="0"/>
              <w:pageBreakBefore w:val="0"/>
              <w:widowControl/>
              <w:kinsoku/>
              <w:wordWrap/>
              <w:overflowPunct/>
              <w:autoSpaceDE w:val="0"/>
              <w:autoSpaceDN w:val="0"/>
              <w:bidi w:val="0"/>
              <w:adjustRightInd w:val="0"/>
              <w:snapToGrid w:val="0"/>
              <w:jc w:val="left"/>
              <w:textAlignment w:val="auto"/>
              <w:rPr>
                <w:rFonts w:hint="eastAsia" w:ascii="宋体" w:hAnsi="宋体" w:eastAsia="宋体" w:cs="宋体"/>
                <w:b/>
                <w:bCs/>
                <w:color w:val="000000"/>
                <w:position w:val="0"/>
                <w:sz w:val="21"/>
                <w:szCs w:val="21"/>
                <w:highlight w:val="none"/>
              </w:rPr>
            </w:pPr>
            <w:r>
              <w:rPr>
                <w:rFonts w:hint="eastAsia" w:ascii="宋体" w:hAnsi="宋体" w:eastAsia="宋体" w:cs="宋体"/>
                <w:b/>
                <w:bCs/>
                <w:color w:val="000000"/>
                <w:position w:val="0"/>
                <w:sz w:val="21"/>
                <w:szCs w:val="21"/>
                <w:highlight w:val="none"/>
              </w:rPr>
              <w:t>1、红名单单位免缴投标保证金，提供列入红名单的公告截图即可。</w:t>
            </w:r>
          </w:p>
          <w:p w14:paraId="22523657">
            <w:pPr>
              <w:keepNext w:val="0"/>
              <w:keepLines w:val="0"/>
              <w:pageBreakBefore w:val="0"/>
              <w:widowControl/>
              <w:kinsoku/>
              <w:wordWrap/>
              <w:overflowPunct/>
              <w:autoSpaceDE w:val="0"/>
              <w:autoSpaceDN w:val="0"/>
              <w:bidi w:val="0"/>
              <w:adjustRightInd w:val="0"/>
              <w:snapToGrid w:val="0"/>
              <w:jc w:val="left"/>
              <w:textAlignment w:val="auto"/>
              <w:rPr>
                <w:rFonts w:hint="eastAsia" w:ascii="宋体" w:hAnsi="宋体" w:eastAsia="宋体" w:cs="宋体"/>
                <w:position w:val="0"/>
                <w:sz w:val="21"/>
                <w:szCs w:val="21"/>
                <w:highlight w:val="none"/>
              </w:rPr>
            </w:pPr>
            <w:r>
              <w:rPr>
                <w:rFonts w:hint="eastAsia" w:ascii="宋体" w:hAnsi="宋体" w:eastAsia="宋体" w:cs="宋体"/>
                <w:b/>
                <w:bCs/>
                <w:color w:val="000000"/>
                <w:position w:val="0"/>
                <w:sz w:val="21"/>
                <w:szCs w:val="21"/>
                <w:highlight w:val="none"/>
                <w:lang w:val="en-US" w:eastAsia="zh-CN"/>
              </w:rPr>
              <w:t>2</w:t>
            </w:r>
            <w:r>
              <w:rPr>
                <w:rFonts w:hint="eastAsia" w:ascii="宋体" w:hAnsi="宋体" w:eastAsia="宋体" w:cs="宋体"/>
                <w:b/>
                <w:bCs/>
                <w:color w:val="000000"/>
                <w:position w:val="0"/>
                <w:sz w:val="21"/>
                <w:szCs w:val="21"/>
                <w:highlight w:val="none"/>
              </w:rPr>
              <w:t>、非红名单请在投标文件中提交《投标保证金信用承诺书》代替投标保证金缴纳，承诺书中保证金金额请根据投标人自身情况填报。</w:t>
            </w:r>
          </w:p>
          <w:p w14:paraId="751670B5">
            <w:pPr>
              <w:keepNext w:val="0"/>
              <w:keepLines w:val="0"/>
              <w:pageBreakBefore w:val="0"/>
              <w:kinsoku/>
              <w:wordWrap/>
              <w:overflowPunct/>
              <w:bidi w:val="0"/>
              <w:adjustRightInd w:val="0"/>
              <w:snapToGrid w:val="0"/>
              <w:textAlignment w:val="auto"/>
              <w:rPr>
                <w:rFonts w:hint="eastAsia" w:ascii="宋体" w:hAnsi="宋体" w:eastAsia="宋体" w:cs="宋体"/>
                <w:sz w:val="21"/>
                <w:szCs w:val="21"/>
                <w:highlight w:val="none"/>
              </w:rPr>
            </w:pPr>
            <w:r>
              <w:rPr>
                <w:rFonts w:hint="eastAsia" w:ascii="宋体" w:hAnsi="宋体" w:eastAsia="宋体" w:cs="宋体"/>
                <w:position w:val="0"/>
                <w:sz w:val="21"/>
                <w:szCs w:val="21"/>
                <w:highlight w:val="none"/>
              </w:rPr>
              <w:fldChar w:fldCharType="begin"/>
            </w:r>
            <w:r>
              <w:rPr>
                <w:rFonts w:hint="eastAsia" w:ascii="宋体" w:hAnsi="宋体" w:eastAsia="宋体" w:cs="宋体"/>
                <w:position w:val="0"/>
                <w:sz w:val="21"/>
                <w:szCs w:val="21"/>
                <w:highlight w:val="none"/>
              </w:rPr>
              <w:instrText xml:space="preserve"> eq \o\ac(</w:instrText>
            </w:r>
            <w:r>
              <w:rPr>
                <w:rFonts w:hint="eastAsia" w:ascii="宋体" w:hAnsi="宋体" w:eastAsia="宋体" w:cs="宋体"/>
                <w:position w:val="0"/>
                <w:sz w:val="31"/>
                <w:szCs w:val="21"/>
                <w:highlight w:val="none"/>
              </w:rPr>
              <w:instrText xml:space="preserve">□</w:instrText>
            </w:r>
            <w:r>
              <w:rPr>
                <w:rFonts w:hint="eastAsia" w:ascii="宋体" w:hAnsi="宋体" w:eastAsia="宋体" w:cs="宋体"/>
                <w:position w:val="0"/>
                <w:sz w:val="21"/>
                <w:szCs w:val="21"/>
                <w:highlight w:val="none"/>
              </w:rPr>
              <w:instrText xml:space="preserve">,×)</w:instrText>
            </w:r>
            <w:r>
              <w:rPr>
                <w:rFonts w:hint="eastAsia" w:ascii="宋体" w:hAnsi="宋体" w:eastAsia="宋体" w:cs="宋体"/>
                <w:position w:val="0"/>
                <w:sz w:val="21"/>
                <w:szCs w:val="21"/>
                <w:highlight w:val="none"/>
              </w:rPr>
              <w:fldChar w:fldCharType="end"/>
            </w:r>
            <w:r>
              <w:rPr>
                <w:rFonts w:hint="eastAsia" w:ascii="宋体" w:hAnsi="宋体" w:eastAsia="宋体" w:cs="宋体"/>
                <w:position w:val="0"/>
                <w:sz w:val="21"/>
                <w:szCs w:val="21"/>
                <w:highlight w:val="none"/>
              </w:rPr>
              <w:t>不要求</w:t>
            </w:r>
          </w:p>
        </w:tc>
      </w:tr>
      <w:tr w14:paraId="441EF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1DFE8AEB">
            <w:pPr>
              <w:adjustRightInd w:val="0"/>
              <w:snapToGrid w:val="0"/>
              <w:jc w:val="center"/>
              <w:rPr>
                <w:rFonts w:ascii="宋体" w:hAnsi="宋体"/>
                <w:szCs w:val="21"/>
                <w:highlight w:val="none"/>
              </w:rPr>
            </w:pPr>
            <w:r>
              <w:rPr>
                <w:rFonts w:ascii="宋体" w:hAnsi="宋体"/>
                <w:szCs w:val="21"/>
                <w:highlight w:val="none"/>
              </w:rPr>
              <w:t>3.4.3</w:t>
            </w:r>
          </w:p>
        </w:tc>
        <w:tc>
          <w:tcPr>
            <w:tcW w:w="1666" w:type="pct"/>
            <w:noWrap w:val="0"/>
            <w:vAlign w:val="center"/>
          </w:tcPr>
          <w:p w14:paraId="63B8F5E6">
            <w:pPr>
              <w:adjustRightInd w:val="0"/>
              <w:snapToGrid w:val="0"/>
              <w:jc w:val="center"/>
              <w:rPr>
                <w:rFonts w:ascii="宋体" w:hAnsi="宋体"/>
                <w:szCs w:val="21"/>
                <w:highlight w:val="none"/>
              </w:rPr>
            </w:pPr>
            <w:r>
              <w:rPr>
                <w:rFonts w:ascii="宋体" w:hAnsi="宋体"/>
                <w:spacing w:val="-2"/>
                <w:szCs w:val="21"/>
                <w:highlight w:val="none"/>
              </w:rPr>
              <w:t>投标保证金的利息计算原则</w:t>
            </w:r>
          </w:p>
        </w:tc>
        <w:tc>
          <w:tcPr>
            <w:tcW w:w="2746" w:type="pct"/>
            <w:gridSpan w:val="2"/>
            <w:noWrap w:val="0"/>
            <w:vAlign w:val="center"/>
          </w:tcPr>
          <w:p w14:paraId="319932F6">
            <w:pPr>
              <w:pStyle w:val="154"/>
              <w:kinsoku w:val="0"/>
              <w:overflowPunct w:val="0"/>
              <w:snapToGrid w:val="0"/>
              <w:jc w:val="both"/>
              <w:rPr>
                <w:rFonts w:ascii="宋体" w:hAnsi="宋体"/>
                <w:spacing w:val="-2"/>
                <w:sz w:val="21"/>
                <w:szCs w:val="21"/>
                <w:highlight w:val="none"/>
              </w:rPr>
            </w:pPr>
            <w:r>
              <w:rPr>
                <w:rFonts w:ascii="宋体" w:hAnsi="宋体"/>
                <w:spacing w:val="-3"/>
                <w:sz w:val="21"/>
                <w:szCs w:val="21"/>
                <w:highlight w:val="none"/>
              </w:rPr>
              <w:t>（1）计算利息的起始日期为投标截止当日，终止日期</w:t>
            </w:r>
            <w:r>
              <w:rPr>
                <w:rFonts w:ascii="宋体" w:hAnsi="宋体"/>
                <w:spacing w:val="-2"/>
                <w:sz w:val="21"/>
                <w:szCs w:val="21"/>
                <w:highlight w:val="none"/>
              </w:rPr>
              <w:t>为招标人退还投标保证金日期的前一日；</w:t>
            </w:r>
          </w:p>
          <w:p w14:paraId="24E69BFA">
            <w:pPr>
              <w:pStyle w:val="154"/>
              <w:kinsoku w:val="0"/>
              <w:overflowPunct w:val="0"/>
              <w:snapToGrid w:val="0"/>
              <w:jc w:val="both"/>
              <w:rPr>
                <w:rFonts w:ascii="宋体" w:hAnsi="宋体"/>
                <w:spacing w:val="-2"/>
                <w:sz w:val="21"/>
                <w:szCs w:val="21"/>
                <w:highlight w:val="none"/>
              </w:rPr>
            </w:pPr>
            <w:r>
              <w:rPr>
                <w:rFonts w:ascii="宋体" w:hAnsi="宋体"/>
                <w:spacing w:val="1"/>
                <w:sz w:val="21"/>
                <w:szCs w:val="21"/>
                <w:highlight w:val="none"/>
              </w:rPr>
              <w:t>（2）投标保证金的利息按照第（1）款所述计息时间</w:t>
            </w:r>
            <w:r>
              <w:rPr>
                <w:rFonts w:ascii="宋体" w:hAnsi="宋体"/>
                <w:spacing w:val="-2"/>
                <w:sz w:val="21"/>
                <w:szCs w:val="21"/>
                <w:highlight w:val="none"/>
              </w:rPr>
              <w:t>段内招标人指定汇入银行公告的活期存款利率计付，并扣除招标人汇款手续费；</w:t>
            </w:r>
          </w:p>
          <w:p w14:paraId="00D2F1D2">
            <w:pPr>
              <w:adjustRightInd w:val="0"/>
              <w:snapToGrid w:val="0"/>
              <w:rPr>
                <w:rFonts w:hint="eastAsia" w:ascii="宋体" w:hAnsi="宋体" w:eastAsia="宋体"/>
                <w:spacing w:val="-2"/>
                <w:szCs w:val="21"/>
                <w:highlight w:val="none"/>
                <w:lang w:eastAsia="zh-CN"/>
              </w:rPr>
            </w:pPr>
            <w:r>
              <w:rPr>
                <w:rFonts w:ascii="宋体" w:hAnsi="宋体"/>
                <w:spacing w:val="-2"/>
                <w:szCs w:val="21"/>
                <w:highlight w:val="none"/>
              </w:rPr>
              <w:t>（3）利息金额计算至分位，分以下尾数四舍五入</w:t>
            </w:r>
            <w:r>
              <w:rPr>
                <w:rFonts w:hint="eastAsia" w:ascii="宋体" w:hAnsi="宋体"/>
                <w:spacing w:val="-2"/>
                <w:szCs w:val="21"/>
                <w:highlight w:val="none"/>
                <w:lang w:eastAsia="zh-CN"/>
              </w:rPr>
              <w:t>。</w:t>
            </w:r>
          </w:p>
        </w:tc>
      </w:tr>
      <w:tr w14:paraId="2E0D6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234652DB">
            <w:pPr>
              <w:adjustRightInd w:val="0"/>
              <w:snapToGrid w:val="0"/>
              <w:jc w:val="center"/>
              <w:rPr>
                <w:rFonts w:ascii="宋体" w:hAnsi="宋体"/>
                <w:szCs w:val="21"/>
                <w:highlight w:val="none"/>
              </w:rPr>
            </w:pPr>
            <w:r>
              <w:rPr>
                <w:rFonts w:ascii="宋体" w:hAnsi="宋体"/>
                <w:szCs w:val="21"/>
                <w:highlight w:val="none"/>
              </w:rPr>
              <w:t>3.4.4</w:t>
            </w:r>
          </w:p>
        </w:tc>
        <w:tc>
          <w:tcPr>
            <w:tcW w:w="1666" w:type="pct"/>
            <w:noWrap w:val="0"/>
            <w:vAlign w:val="center"/>
          </w:tcPr>
          <w:p w14:paraId="56A3D826">
            <w:pPr>
              <w:adjustRightInd w:val="0"/>
              <w:snapToGrid w:val="0"/>
              <w:jc w:val="center"/>
              <w:rPr>
                <w:rFonts w:ascii="宋体" w:hAnsi="宋体"/>
                <w:spacing w:val="-2"/>
                <w:szCs w:val="21"/>
                <w:highlight w:val="none"/>
              </w:rPr>
            </w:pPr>
            <w:r>
              <w:rPr>
                <w:rFonts w:ascii="宋体" w:hAnsi="宋体"/>
                <w:spacing w:val="-2"/>
                <w:szCs w:val="21"/>
                <w:highlight w:val="none"/>
              </w:rPr>
              <w:t>其他可以不予退还投标保证金</w:t>
            </w:r>
            <w:r>
              <w:rPr>
                <w:rFonts w:ascii="宋体" w:hAnsi="宋体"/>
                <w:szCs w:val="21"/>
                <w:highlight w:val="none"/>
              </w:rPr>
              <w:t>的情形</w:t>
            </w:r>
          </w:p>
        </w:tc>
        <w:tc>
          <w:tcPr>
            <w:tcW w:w="2746" w:type="pct"/>
            <w:gridSpan w:val="2"/>
            <w:noWrap w:val="0"/>
            <w:vAlign w:val="center"/>
          </w:tcPr>
          <w:p w14:paraId="4BFF3F28">
            <w:pPr>
              <w:pStyle w:val="154"/>
              <w:kinsoku w:val="0"/>
              <w:overflowPunct w:val="0"/>
              <w:snapToGrid w:val="0"/>
              <w:jc w:val="both"/>
              <w:rPr>
                <w:rFonts w:ascii="宋体" w:hAnsi="宋体"/>
                <w:spacing w:val="-2"/>
                <w:sz w:val="21"/>
                <w:szCs w:val="21"/>
                <w:highlight w:val="none"/>
              </w:rPr>
            </w:pPr>
            <w:r>
              <w:rPr>
                <w:rFonts w:hint="eastAsia" w:ascii="宋体" w:hAnsi="宋体"/>
                <w:spacing w:val="-2"/>
                <w:sz w:val="21"/>
                <w:szCs w:val="21"/>
                <w:highlight w:val="none"/>
              </w:rPr>
              <w:t>其他可以不予退还投标保证金的情形：</w:t>
            </w:r>
          </w:p>
          <w:p w14:paraId="4D6EE657">
            <w:pPr>
              <w:pStyle w:val="154"/>
              <w:kinsoku w:val="0"/>
              <w:overflowPunct w:val="0"/>
              <w:snapToGrid w:val="0"/>
              <w:jc w:val="both"/>
              <w:rPr>
                <w:rFonts w:ascii="宋体" w:hAnsi="宋体"/>
                <w:spacing w:val="-2"/>
                <w:sz w:val="21"/>
                <w:szCs w:val="21"/>
                <w:highlight w:val="none"/>
              </w:rPr>
            </w:pPr>
            <w:r>
              <w:rPr>
                <w:rFonts w:hint="eastAsia" w:ascii="宋体" w:hAnsi="宋体"/>
                <w:spacing w:val="-2"/>
                <w:sz w:val="21"/>
                <w:szCs w:val="21"/>
                <w:highlight w:val="none"/>
              </w:rPr>
              <w:t>a、投标人不接受依据评标办法的规定对其投标文件中细微偏差进行澄清和补正；</w:t>
            </w:r>
          </w:p>
          <w:p w14:paraId="79D2BE0D">
            <w:pPr>
              <w:pStyle w:val="154"/>
              <w:kinsoku w:val="0"/>
              <w:overflowPunct w:val="0"/>
              <w:snapToGrid w:val="0"/>
              <w:jc w:val="both"/>
              <w:rPr>
                <w:rFonts w:hint="eastAsia" w:ascii="宋体" w:hAnsi="宋体" w:eastAsia="宋体"/>
                <w:spacing w:val="-2"/>
                <w:sz w:val="21"/>
                <w:szCs w:val="21"/>
                <w:highlight w:val="none"/>
                <w:lang w:eastAsia="zh-CN"/>
              </w:rPr>
            </w:pPr>
            <w:r>
              <w:rPr>
                <w:rFonts w:hint="eastAsia" w:ascii="宋体" w:hAnsi="宋体"/>
                <w:spacing w:val="-2"/>
                <w:sz w:val="21"/>
                <w:szCs w:val="21"/>
                <w:highlight w:val="none"/>
              </w:rPr>
              <w:t>b、投标人提交了虚假资料</w:t>
            </w:r>
            <w:r>
              <w:rPr>
                <w:rFonts w:hint="eastAsia" w:ascii="宋体" w:hAnsi="宋体"/>
                <w:spacing w:val="-2"/>
                <w:sz w:val="21"/>
                <w:szCs w:val="21"/>
                <w:highlight w:val="none"/>
                <w:lang w:eastAsia="zh-CN"/>
              </w:rPr>
              <w:t>；</w:t>
            </w:r>
          </w:p>
          <w:p w14:paraId="2962F56B">
            <w:pPr>
              <w:pStyle w:val="154"/>
              <w:kinsoku w:val="0"/>
              <w:overflowPunct w:val="0"/>
              <w:snapToGrid w:val="0"/>
              <w:jc w:val="both"/>
              <w:rPr>
                <w:rFonts w:ascii="宋体" w:hAnsi="宋体"/>
                <w:spacing w:val="-3"/>
                <w:sz w:val="21"/>
                <w:szCs w:val="21"/>
                <w:highlight w:val="none"/>
              </w:rPr>
            </w:pPr>
            <w:r>
              <w:rPr>
                <w:rFonts w:hint="eastAsia" w:ascii="宋体" w:hAnsi="宋体"/>
                <w:spacing w:val="-2"/>
                <w:sz w:val="21"/>
                <w:szCs w:val="21"/>
                <w:highlight w:val="none"/>
              </w:rPr>
              <w:t>c、</w:t>
            </w:r>
            <w:r>
              <w:rPr>
                <w:rFonts w:ascii="宋体" w:hAnsi="宋体"/>
                <w:spacing w:val="-2"/>
                <w:sz w:val="21"/>
                <w:szCs w:val="21"/>
                <w:highlight w:val="none"/>
              </w:rPr>
              <w:t>投标人有串标、围标、</w:t>
            </w:r>
            <w:r>
              <w:rPr>
                <w:rFonts w:hint="eastAsia" w:ascii="宋体" w:hAnsi="宋体"/>
                <w:spacing w:val="-2"/>
                <w:sz w:val="21"/>
                <w:szCs w:val="21"/>
                <w:highlight w:val="none"/>
              </w:rPr>
              <w:t>“</w:t>
            </w:r>
            <w:r>
              <w:rPr>
                <w:rFonts w:ascii="宋体" w:hAnsi="宋体"/>
                <w:spacing w:val="-2"/>
                <w:sz w:val="21"/>
                <w:szCs w:val="21"/>
                <w:highlight w:val="none"/>
              </w:rPr>
              <w:t>挂靠</w:t>
            </w:r>
            <w:r>
              <w:rPr>
                <w:rFonts w:hint="eastAsia" w:ascii="宋体" w:hAnsi="宋体"/>
                <w:spacing w:val="-2"/>
                <w:sz w:val="21"/>
                <w:szCs w:val="21"/>
                <w:highlight w:val="none"/>
              </w:rPr>
              <w:t>”</w:t>
            </w:r>
            <w:r>
              <w:rPr>
                <w:rFonts w:ascii="宋体" w:hAnsi="宋体"/>
                <w:spacing w:val="-2"/>
                <w:sz w:val="21"/>
                <w:szCs w:val="21"/>
                <w:highlight w:val="none"/>
              </w:rPr>
              <w:t>其他单位参与投标，贿赂评标专家或招标人工作人员，以及其他违反国家招投标管理有关规定的行为。</w:t>
            </w:r>
          </w:p>
        </w:tc>
      </w:tr>
      <w:tr w14:paraId="74817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5BEA218E">
            <w:pPr>
              <w:adjustRightInd w:val="0"/>
              <w:snapToGrid w:val="0"/>
              <w:jc w:val="center"/>
              <w:rPr>
                <w:rFonts w:ascii="宋体" w:hAnsi="宋体"/>
                <w:szCs w:val="21"/>
                <w:highlight w:val="none"/>
              </w:rPr>
            </w:pPr>
            <w:r>
              <w:rPr>
                <w:rFonts w:ascii="宋体" w:hAnsi="宋体"/>
                <w:spacing w:val="-1"/>
                <w:szCs w:val="21"/>
                <w:highlight w:val="none"/>
              </w:rPr>
              <w:t>3.5</w:t>
            </w:r>
          </w:p>
        </w:tc>
        <w:tc>
          <w:tcPr>
            <w:tcW w:w="1666" w:type="pct"/>
            <w:noWrap w:val="0"/>
            <w:vAlign w:val="center"/>
          </w:tcPr>
          <w:p w14:paraId="11A502B8">
            <w:pPr>
              <w:adjustRightInd w:val="0"/>
              <w:snapToGrid w:val="0"/>
              <w:jc w:val="center"/>
              <w:rPr>
                <w:rFonts w:ascii="宋体" w:hAnsi="宋体"/>
                <w:b w:val="0"/>
                <w:bCs w:val="0"/>
                <w:spacing w:val="-2"/>
                <w:szCs w:val="21"/>
                <w:highlight w:val="none"/>
              </w:rPr>
            </w:pPr>
            <w:r>
              <w:rPr>
                <w:rFonts w:ascii="宋体" w:hAnsi="宋体"/>
                <w:b w:val="0"/>
                <w:bCs w:val="0"/>
                <w:spacing w:val="-2"/>
                <w:szCs w:val="21"/>
                <w:highlight w:val="none"/>
              </w:rPr>
              <w:t>资格审查资料的特殊要求</w:t>
            </w:r>
          </w:p>
        </w:tc>
        <w:tc>
          <w:tcPr>
            <w:tcW w:w="2746" w:type="pct"/>
            <w:gridSpan w:val="2"/>
            <w:noWrap w:val="0"/>
            <w:vAlign w:val="center"/>
          </w:tcPr>
          <w:p w14:paraId="66A4404A">
            <w:pPr>
              <w:pStyle w:val="154"/>
              <w:kinsoku w:val="0"/>
              <w:overflowPunct w:val="0"/>
              <w:snapToGrid w:val="0"/>
              <w:rPr>
                <w:rFonts w:hint="eastAsia" w:ascii="宋体" w:hAnsi="宋体"/>
                <w:b w:val="0"/>
                <w:bCs w:val="0"/>
                <w:spacing w:val="-3"/>
                <w:sz w:val="21"/>
                <w:szCs w:val="21"/>
                <w:highlight w:val="none"/>
                <w:u w:val="single"/>
              </w:rPr>
            </w:pPr>
            <w:r>
              <w:rPr>
                <w:rFonts w:hint="eastAsia" w:ascii="宋体" w:hAnsi="宋体"/>
                <w:b w:val="0"/>
                <w:bCs w:val="0"/>
                <w:spacing w:val="-3"/>
                <w:sz w:val="21"/>
                <w:szCs w:val="21"/>
                <w:highlight w:val="none"/>
                <w:u w:val="none"/>
              </w:rPr>
              <w:t>无</w:t>
            </w:r>
          </w:p>
        </w:tc>
      </w:tr>
      <w:tr w14:paraId="309A8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4BC74474">
            <w:pPr>
              <w:adjustRightInd w:val="0"/>
              <w:snapToGrid w:val="0"/>
              <w:jc w:val="center"/>
              <w:rPr>
                <w:rFonts w:ascii="宋体" w:hAnsi="宋体"/>
                <w:szCs w:val="21"/>
                <w:highlight w:val="none"/>
              </w:rPr>
            </w:pPr>
            <w:r>
              <w:rPr>
                <w:rFonts w:ascii="宋体" w:hAnsi="宋体"/>
                <w:szCs w:val="21"/>
                <w:highlight w:val="none"/>
              </w:rPr>
              <w:t>3.6.1</w:t>
            </w:r>
          </w:p>
        </w:tc>
        <w:tc>
          <w:tcPr>
            <w:tcW w:w="1666" w:type="pct"/>
            <w:noWrap w:val="0"/>
            <w:vAlign w:val="center"/>
          </w:tcPr>
          <w:p w14:paraId="7541C700">
            <w:pPr>
              <w:adjustRightInd w:val="0"/>
              <w:snapToGrid w:val="0"/>
              <w:jc w:val="center"/>
              <w:rPr>
                <w:rFonts w:ascii="宋体" w:hAnsi="宋体"/>
                <w:szCs w:val="21"/>
                <w:highlight w:val="none"/>
              </w:rPr>
            </w:pPr>
            <w:r>
              <w:rPr>
                <w:rFonts w:ascii="宋体" w:hAnsi="宋体"/>
                <w:szCs w:val="21"/>
                <w:highlight w:val="none"/>
              </w:rPr>
              <w:t>是否允许递交备选投标方案</w:t>
            </w:r>
          </w:p>
        </w:tc>
        <w:tc>
          <w:tcPr>
            <w:tcW w:w="2746" w:type="pct"/>
            <w:gridSpan w:val="2"/>
            <w:noWrap w:val="0"/>
            <w:vAlign w:val="center"/>
          </w:tcPr>
          <w:p w14:paraId="41D7A405">
            <w:pPr>
              <w:adjustRightInd w:val="0"/>
              <w:snapToGrid w:val="0"/>
              <w:rPr>
                <w:rFonts w:ascii="宋体" w:hAnsi="宋体"/>
                <w:szCs w:val="21"/>
                <w:highlight w:val="none"/>
              </w:rPr>
            </w:pPr>
            <w:r>
              <w:rPr>
                <w:rFonts w:ascii="宋体" w:hAnsi="宋体"/>
                <w:szCs w:val="21"/>
                <w:highlight w:val="none"/>
              </w:rPr>
              <w:fldChar w:fldCharType="begin"/>
            </w:r>
            <w:r>
              <w:rPr>
                <w:rFonts w:ascii="宋体" w:hAnsi="宋体"/>
                <w:szCs w:val="21"/>
                <w:highlight w:val="none"/>
              </w:rPr>
              <w:instrText xml:space="preserve"> </w:instrText>
            </w:r>
            <w:r>
              <w:rPr>
                <w:rFonts w:hint="eastAsia" w:ascii="宋体" w:hAnsi="宋体"/>
                <w:szCs w:val="21"/>
                <w:highlight w:val="none"/>
              </w:rPr>
              <w:instrText xml:space="preserve">eq \o\ac(□,√)</w:instrText>
            </w:r>
            <w:r>
              <w:rPr>
                <w:rFonts w:ascii="宋体" w:hAnsi="宋体"/>
                <w:szCs w:val="21"/>
                <w:highlight w:val="none"/>
              </w:rPr>
              <w:fldChar w:fldCharType="end"/>
            </w:r>
            <w:r>
              <w:rPr>
                <w:rFonts w:ascii="宋体" w:hAnsi="宋体"/>
                <w:szCs w:val="21"/>
                <w:highlight w:val="none"/>
              </w:rPr>
              <w:t>不允许</w:t>
            </w:r>
          </w:p>
          <w:p w14:paraId="53FE6997">
            <w:pPr>
              <w:adjustRightInd w:val="0"/>
              <w:snapToGrid w:val="0"/>
              <w:rPr>
                <w:rFonts w:ascii="宋体" w:hAnsi="宋体"/>
                <w:szCs w:val="21"/>
                <w:highlight w:val="none"/>
                <w:u w:val="single"/>
              </w:rPr>
            </w:pPr>
            <w:r>
              <w:rPr>
                <w:rFonts w:hint="eastAsia" w:ascii="宋体" w:hAnsi="宋体" w:cs="宋体"/>
                <w:szCs w:val="21"/>
                <w:highlight w:val="none"/>
              </w:rPr>
              <w:fldChar w:fldCharType="begin"/>
            </w:r>
            <w:r>
              <w:rPr>
                <w:rFonts w:hint="eastAsia" w:ascii="宋体" w:hAnsi="宋体" w:cs="宋体"/>
                <w:szCs w:val="21"/>
                <w:highlight w:val="none"/>
              </w:rPr>
              <w:instrText xml:space="preserve"> eq \o\ac(□,×)</w:instrText>
            </w:r>
            <w:r>
              <w:rPr>
                <w:rFonts w:hint="eastAsia" w:ascii="宋体" w:hAnsi="宋体" w:cs="宋体"/>
                <w:szCs w:val="21"/>
                <w:highlight w:val="none"/>
              </w:rPr>
              <w:fldChar w:fldCharType="end"/>
            </w:r>
            <w:r>
              <w:rPr>
                <w:rFonts w:ascii="宋体" w:hAnsi="宋体"/>
                <w:szCs w:val="21"/>
                <w:highlight w:val="none"/>
              </w:rPr>
              <w:t>允许</w:t>
            </w:r>
          </w:p>
        </w:tc>
      </w:tr>
      <w:tr w14:paraId="2E042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3BE39EAD">
            <w:pPr>
              <w:adjustRightInd w:val="0"/>
              <w:snapToGrid w:val="0"/>
              <w:jc w:val="center"/>
              <w:rPr>
                <w:rFonts w:ascii="宋体" w:hAnsi="宋体"/>
                <w:szCs w:val="21"/>
                <w:highlight w:val="none"/>
              </w:rPr>
            </w:pPr>
            <w:r>
              <w:rPr>
                <w:rFonts w:ascii="宋体" w:hAnsi="宋体"/>
                <w:szCs w:val="21"/>
                <w:highlight w:val="none"/>
              </w:rPr>
              <w:t>3.7.4</w:t>
            </w:r>
          </w:p>
        </w:tc>
        <w:tc>
          <w:tcPr>
            <w:tcW w:w="1666" w:type="pct"/>
            <w:noWrap w:val="0"/>
            <w:vAlign w:val="center"/>
          </w:tcPr>
          <w:p w14:paraId="285D964A">
            <w:pPr>
              <w:adjustRightInd w:val="0"/>
              <w:snapToGrid w:val="0"/>
              <w:jc w:val="center"/>
              <w:rPr>
                <w:rFonts w:ascii="宋体" w:hAnsi="宋体"/>
                <w:szCs w:val="21"/>
                <w:highlight w:val="none"/>
              </w:rPr>
            </w:pPr>
            <w:r>
              <w:rPr>
                <w:rFonts w:ascii="宋体" w:hAnsi="宋体"/>
                <w:szCs w:val="21"/>
                <w:highlight w:val="none"/>
              </w:rPr>
              <w:t>投标文件副本份数</w:t>
            </w:r>
          </w:p>
        </w:tc>
        <w:tc>
          <w:tcPr>
            <w:tcW w:w="2746" w:type="pct"/>
            <w:gridSpan w:val="2"/>
            <w:noWrap w:val="0"/>
            <w:vAlign w:val="center"/>
          </w:tcPr>
          <w:p w14:paraId="7947831E">
            <w:pPr>
              <w:adjustRightInd w:val="0"/>
              <w:snapToGrid w:val="0"/>
              <w:jc w:val="left"/>
              <w:rPr>
                <w:rFonts w:hint="eastAsia" w:ascii="宋体" w:hAnsi="宋体" w:cs="宋体"/>
                <w:kern w:val="0"/>
                <w:szCs w:val="21"/>
                <w:highlight w:val="none"/>
              </w:rPr>
            </w:pPr>
            <w:r>
              <w:rPr>
                <w:rFonts w:hint="eastAsia" w:ascii="宋体" w:hAnsi="宋体" w:cs="宋体"/>
                <w:kern w:val="0"/>
                <w:szCs w:val="21"/>
                <w:highlight w:val="none"/>
              </w:rPr>
              <w:t>投标文件的份数：正本 1 份，副本 4 份。</w:t>
            </w:r>
          </w:p>
          <w:p w14:paraId="22B927A3">
            <w:pPr>
              <w:adjustRightInd w:val="0"/>
              <w:snapToGrid w:val="0"/>
              <w:jc w:val="left"/>
              <w:rPr>
                <w:rFonts w:ascii="宋体" w:hAnsi="宋体"/>
                <w:szCs w:val="21"/>
                <w:highlight w:val="none"/>
              </w:rPr>
            </w:pPr>
            <w:r>
              <w:rPr>
                <w:rFonts w:hint="eastAsia" w:ascii="宋体" w:hAnsi="宋体" w:cs="宋体"/>
                <w:kern w:val="0"/>
                <w:szCs w:val="21"/>
                <w:highlight w:val="none"/>
              </w:rPr>
              <w:t>提交电子版文件1份（u盘），</w:t>
            </w:r>
            <w:r>
              <w:rPr>
                <w:rFonts w:hint="eastAsia" w:ascii="宋体" w:hAnsi="宋体" w:cs="宋体"/>
                <w:b/>
                <w:bCs/>
                <w:kern w:val="0"/>
                <w:szCs w:val="21"/>
                <w:highlight w:val="none"/>
              </w:rPr>
              <w:t>电子文件为盖章后的投标文件扫描件</w:t>
            </w:r>
            <w:r>
              <w:rPr>
                <w:rFonts w:hint="eastAsia" w:ascii="宋体" w:hAnsi="宋体" w:cs="宋体"/>
                <w:kern w:val="0"/>
                <w:szCs w:val="21"/>
                <w:highlight w:val="none"/>
              </w:rPr>
              <w:t>，电子文件不得设置密码并保证无病毒。</w:t>
            </w:r>
          </w:p>
        </w:tc>
      </w:tr>
      <w:tr w14:paraId="5E35C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292670FD">
            <w:pPr>
              <w:adjustRightInd w:val="0"/>
              <w:snapToGrid w:val="0"/>
              <w:jc w:val="center"/>
              <w:rPr>
                <w:rFonts w:hint="default" w:ascii="宋体" w:hAnsi="宋体" w:eastAsia="宋体"/>
                <w:szCs w:val="21"/>
                <w:highlight w:val="none"/>
                <w:lang w:val="en-US" w:eastAsia="zh-CN"/>
              </w:rPr>
            </w:pPr>
            <w:r>
              <w:rPr>
                <w:rFonts w:hint="eastAsia" w:ascii="宋体" w:hAnsi="宋体"/>
                <w:szCs w:val="21"/>
                <w:highlight w:val="none"/>
                <w:lang w:val="en-US" w:eastAsia="zh-CN"/>
              </w:rPr>
              <w:t>4.1.2</w:t>
            </w:r>
          </w:p>
        </w:tc>
        <w:tc>
          <w:tcPr>
            <w:tcW w:w="1666" w:type="pct"/>
            <w:noWrap w:val="0"/>
            <w:vAlign w:val="center"/>
          </w:tcPr>
          <w:p w14:paraId="1921B50E">
            <w:pPr>
              <w:adjustRightInd w:val="0"/>
              <w:snapToGrid w:val="0"/>
              <w:jc w:val="center"/>
              <w:rPr>
                <w:rFonts w:ascii="宋体" w:hAnsi="宋体"/>
                <w:szCs w:val="21"/>
                <w:highlight w:val="none"/>
              </w:rPr>
            </w:pPr>
            <w:r>
              <w:rPr>
                <w:rFonts w:hint="eastAsia" w:ascii="宋体" w:hAnsi="宋体"/>
                <w:szCs w:val="21"/>
                <w:highlight w:val="none"/>
              </w:rPr>
              <w:t>封套上应载明的信息</w:t>
            </w:r>
          </w:p>
        </w:tc>
        <w:tc>
          <w:tcPr>
            <w:tcW w:w="2746" w:type="pct"/>
            <w:gridSpan w:val="2"/>
            <w:noWrap w:val="0"/>
            <w:vAlign w:val="center"/>
          </w:tcPr>
          <w:p w14:paraId="797A54E7">
            <w:pPr>
              <w:pStyle w:val="154"/>
              <w:keepNext w:val="0"/>
              <w:keepLines w:val="0"/>
              <w:pageBreakBefore w:val="0"/>
              <w:widowControl w:val="0"/>
              <w:tabs>
                <w:tab w:val="left" w:pos="3304"/>
              </w:tabs>
              <w:kinsoku/>
              <w:wordWrap/>
              <w:overflowPunct/>
              <w:topLinePunct w:val="0"/>
              <w:bidi w:val="0"/>
              <w:adjustRightInd w:val="0"/>
              <w:snapToGrid w:val="0"/>
              <w:spacing w:line="240" w:lineRule="auto"/>
              <w:ind w:left="0" w:right="0"/>
              <w:jc w:val="both"/>
              <w:textAlignment w:val="auto"/>
              <w:rPr>
                <w:b/>
                <w:spacing w:val="-16"/>
                <w:sz w:val="21"/>
                <w:highlight w:val="none"/>
              </w:rPr>
            </w:pPr>
            <w:r>
              <w:rPr>
                <w:b/>
                <w:sz w:val="21"/>
                <w:highlight w:val="none"/>
              </w:rPr>
              <w:t>标文件第一个信</w:t>
            </w:r>
            <w:r>
              <w:rPr>
                <w:b/>
                <w:spacing w:val="-3"/>
                <w:sz w:val="21"/>
                <w:highlight w:val="none"/>
              </w:rPr>
              <w:t>封</w:t>
            </w:r>
            <w:r>
              <w:rPr>
                <w:b/>
                <w:sz w:val="21"/>
                <w:highlight w:val="none"/>
              </w:rPr>
              <w:t>（</w:t>
            </w:r>
            <w:r>
              <w:rPr>
                <w:b/>
                <w:spacing w:val="-3"/>
                <w:sz w:val="21"/>
                <w:highlight w:val="none"/>
              </w:rPr>
              <w:t>商</w:t>
            </w:r>
            <w:r>
              <w:rPr>
                <w:b/>
                <w:sz w:val="21"/>
                <w:highlight w:val="none"/>
              </w:rPr>
              <w:t>务及技术文件）封</w:t>
            </w:r>
            <w:r>
              <w:rPr>
                <w:b/>
                <w:spacing w:val="-3"/>
                <w:sz w:val="21"/>
                <w:highlight w:val="none"/>
              </w:rPr>
              <w:t>套</w:t>
            </w:r>
            <w:r>
              <w:rPr>
                <w:b/>
                <w:spacing w:val="-16"/>
                <w:sz w:val="21"/>
                <w:highlight w:val="none"/>
              </w:rPr>
              <w:t xml:space="preserve">： </w:t>
            </w:r>
          </w:p>
          <w:p w14:paraId="4B1994CF">
            <w:pPr>
              <w:pStyle w:val="154"/>
              <w:keepNext w:val="0"/>
              <w:keepLines w:val="0"/>
              <w:pageBreakBefore w:val="0"/>
              <w:widowControl w:val="0"/>
              <w:tabs>
                <w:tab w:val="left" w:pos="3304"/>
              </w:tabs>
              <w:kinsoku/>
              <w:wordWrap/>
              <w:overflowPunct/>
              <w:topLinePunct w:val="0"/>
              <w:bidi w:val="0"/>
              <w:adjustRightInd w:val="0"/>
              <w:snapToGrid w:val="0"/>
              <w:spacing w:line="240" w:lineRule="auto"/>
              <w:ind w:left="0" w:right="0"/>
              <w:jc w:val="both"/>
              <w:textAlignment w:val="auto"/>
              <w:rPr>
                <w:rFonts w:ascii="Times New Roman" w:eastAsia="Times New Roman"/>
                <w:sz w:val="21"/>
                <w:highlight w:val="none"/>
              </w:rPr>
            </w:pPr>
            <w:r>
              <w:rPr>
                <w:sz w:val="21"/>
                <w:highlight w:val="none"/>
              </w:rPr>
              <w:t>招标</w:t>
            </w:r>
            <w:r>
              <w:rPr>
                <w:spacing w:val="-3"/>
                <w:sz w:val="21"/>
                <w:highlight w:val="none"/>
              </w:rPr>
              <w:t>人</w:t>
            </w:r>
            <w:r>
              <w:rPr>
                <w:sz w:val="21"/>
                <w:highlight w:val="none"/>
              </w:rPr>
              <w:t>名</w:t>
            </w:r>
            <w:r>
              <w:rPr>
                <w:spacing w:val="-3"/>
                <w:sz w:val="21"/>
                <w:highlight w:val="none"/>
              </w:rPr>
              <w:t>称</w:t>
            </w:r>
            <w:r>
              <w:rPr>
                <w:sz w:val="21"/>
                <w:highlight w:val="none"/>
              </w:rPr>
              <w:t>：</w:t>
            </w:r>
            <w:r>
              <w:rPr>
                <w:rFonts w:ascii="Times New Roman" w:eastAsia="Times New Roman"/>
                <w:sz w:val="21"/>
                <w:highlight w:val="none"/>
                <w:u w:val="single"/>
              </w:rPr>
              <w:t xml:space="preserve"> </w:t>
            </w:r>
            <w:r>
              <w:rPr>
                <w:rFonts w:ascii="Times New Roman" w:eastAsia="Times New Roman"/>
                <w:sz w:val="21"/>
                <w:highlight w:val="none"/>
                <w:u w:val="single"/>
              </w:rPr>
              <w:tab/>
            </w:r>
          </w:p>
          <w:p w14:paraId="7AC79AE6">
            <w:pPr>
              <w:pStyle w:val="154"/>
              <w:keepNext w:val="0"/>
              <w:keepLines w:val="0"/>
              <w:pageBreakBefore w:val="0"/>
              <w:widowControl w:val="0"/>
              <w:tabs>
                <w:tab w:val="left" w:pos="3304"/>
              </w:tabs>
              <w:kinsoku/>
              <w:wordWrap/>
              <w:overflowPunct/>
              <w:topLinePunct w:val="0"/>
              <w:bidi w:val="0"/>
              <w:adjustRightInd w:val="0"/>
              <w:snapToGrid w:val="0"/>
              <w:spacing w:line="240" w:lineRule="auto"/>
              <w:ind w:left="0" w:right="0"/>
              <w:jc w:val="both"/>
              <w:textAlignment w:val="auto"/>
              <w:rPr>
                <w:rFonts w:ascii="Times New Roman" w:eastAsia="Times New Roman"/>
                <w:sz w:val="21"/>
                <w:highlight w:val="none"/>
              </w:rPr>
            </w:pPr>
            <w:r>
              <w:rPr>
                <w:sz w:val="21"/>
                <w:highlight w:val="none"/>
              </w:rPr>
              <w:t>招标</w:t>
            </w:r>
            <w:r>
              <w:rPr>
                <w:spacing w:val="-3"/>
                <w:sz w:val="21"/>
                <w:highlight w:val="none"/>
              </w:rPr>
              <w:t>人</w:t>
            </w:r>
            <w:r>
              <w:rPr>
                <w:sz w:val="21"/>
                <w:highlight w:val="none"/>
              </w:rPr>
              <w:t>地</w:t>
            </w:r>
            <w:r>
              <w:rPr>
                <w:spacing w:val="-3"/>
                <w:sz w:val="21"/>
                <w:highlight w:val="none"/>
              </w:rPr>
              <w:t>址</w:t>
            </w:r>
            <w:r>
              <w:rPr>
                <w:sz w:val="21"/>
                <w:highlight w:val="none"/>
              </w:rPr>
              <w:t>：</w:t>
            </w:r>
            <w:r>
              <w:rPr>
                <w:rFonts w:ascii="Times New Roman" w:eastAsia="Times New Roman"/>
                <w:sz w:val="21"/>
                <w:highlight w:val="none"/>
                <w:u w:val="single"/>
              </w:rPr>
              <w:t xml:space="preserve"> </w:t>
            </w:r>
            <w:r>
              <w:rPr>
                <w:rFonts w:ascii="Times New Roman" w:eastAsia="Times New Roman"/>
                <w:sz w:val="21"/>
                <w:highlight w:val="none"/>
                <w:u w:val="single"/>
              </w:rPr>
              <w:tab/>
            </w:r>
          </w:p>
          <w:p w14:paraId="0B9DC73D">
            <w:pPr>
              <w:pStyle w:val="154"/>
              <w:keepNext w:val="0"/>
              <w:keepLines w:val="0"/>
              <w:pageBreakBefore w:val="0"/>
              <w:widowControl w:val="0"/>
              <w:tabs>
                <w:tab w:val="left" w:pos="738"/>
                <w:tab w:val="left" w:pos="2658"/>
              </w:tabs>
              <w:kinsoku/>
              <w:wordWrap/>
              <w:overflowPunct/>
              <w:topLinePunct w:val="0"/>
              <w:bidi w:val="0"/>
              <w:adjustRightInd w:val="0"/>
              <w:snapToGrid w:val="0"/>
              <w:spacing w:line="240" w:lineRule="auto"/>
              <w:ind w:left="0" w:right="0"/>
              <w:jc w:val="both"/>
              <w:textAlignment w:val="auto"/>
              <w:rPr>
                <w:sz w:val="21"/>
                <w:highlight w:val="none"/>
              </w:rPr>
            </w:pPr>
            <w:r>
              <w:rPr>
                <w:rFonts w:ascii="Times New Roman" w:eastAsia="Times New Roman"/>
                <w:w w:val="100"/>
                <w:sz w:val="21"/>
                <w:highlight w:val="none"/>
                <w:u w:val="single"/>
              </w:rPr>
              <w:t xml:space="preserve"> </w:t>
            </w:r>
            <w:r>
              <w:rPr>
                <w:rFonts w:ascii="Times New Roman" w:eastAsia="Times New Roman"/>
                <w:sz w:val="21"/>
                <w:highlight w:val="none"/>
                <w:u w:val="single"/>
              </w:rPr>
              <w:tab/>
            </w:r>
            <w:r>
              <w:rPr>
                <w:sz w:val="21"/>
                <w:highlight w:val="none"/>
              </w:rPr>
              <w:t>（项目名称</w:t>
            </w:r>
            <w:r>
              <w:rPr>
                <w:spacing w:val="3"/>
                <w:sz w:val="21"/>
                <w:highlight w:val="none"/>
              </w:rPr>
              <w:t>）</w:t>
            </w:r>
            <w:r>
              <w:rPr>
                <w:spacing w:val="3"/>
                <w:sz w:val="21"/>
                <w:highlight w:val="none"/>
                <w:u w:val="single"/>
              </w:rPr>
              <w:t xml:space="preserve"> </w:t>
            </w:r>
            <w:r>
              <w:rPr>
                <w:spacing w:val="3"/>
                <w:sz w:val="21"/>
                <w:highlight w:val="none"/>
                <w:u w:val="single"/>
              </w:rPr>
              <w:tab/>
            </w:r>
            <w:r>
              <w:rPr>
                <w:rFonts w:hint="eastAsia"/>
                <w:sz w:val="21"/>
                <w:highlight w:val="none"/>
                <w:lang w:val="en-US" w:eastAsia="zh-CN"/>
              </w:rPr>
              <w:t>标段</w:t>
            </w:r>
            <w:r>
              <w:rPr>
                <w:sz w:val="21"/>
                <w:highlight w:val="none"/>
              </w:rPr>
              <w:t>招标第</w:t>
            </w:r>
            <w:r>
              <w:rPr>
                <w:spacing w:val="-16"/>
                <w:sz w:val="21"/>
                <w:highlight w:val="none"/>
              </w:rPr>
              <w:t>一</w:t>
            </w:r>
            <w:r>
              <w:rPr>
                <w:sz w:val="21"/>
                <w:highlight w:val="none"/>
              </w:rPr>
              <w:t>个信</w:t>
            </w:r>
            <w:r>
              <w:rPr>
                <w:spacing w:val="-3"/>
                <w:sz w:val="21"/>
                <w:highlight w:val="none"/>
              </w:rPr>
              <w:t>封</w:t>
            </w:r>
            <w:r>
              <w:rPr>
                <w:sz w:val="21"/>
                <w:highlight w:val="none"/>
              </w:rPr>
              <w:t>（</w:t>
            </w:r>
            <w:r>
              <w:rPr>
                <w:spacing w:val="-3"/>
                <w:sz w:val="21"/>
                <w:highlight w:val="none"/>
              </w:rPr>
              <w:t>商</w:t>
            </w:r>
            <w:r>
              <w:rPr>
                <w:sz w:val="21"/>
                <w:highlight w:val="none"/>
              </w:rPr>
              <w:t>务</w:t>
            </w:r>
            <w:r>
              <w:rPr>
                <w:spacing w:val="-3"/>
                <w:sz w:val="21"/>
                <w:highlight w:val="none"/>
              </w:rPr>
              <w:t>及</w:t>
            </w:r>
            <w:r>
              <w:rPr>
                <w:sz w:val="21"/>
                <w:highlight w:val="none"/>
              </w:rPr>
              <w:t>技</w:t>
            </w:r>
            <w:r>
              <w:rPr>
                <w:spacing w:val="-3"/>
                <w:sz w:val="21"/>
                <w:highlight w:val="none"/>
              </w:rPr>
              <w:t>术</w:t>
            </w:r>
            <w:r>
              <w:rPr>
                <w:sz w:val="21"/>
                <w:highlight w:val="none"/>
              </w:rPr>
              <w:t>文</w:t>
            </w:r>
            <w:r>
              <w:rPr>
                <w:spacing w:val="-3"/>
                <w:sz w:val="21"/>
                <w:highlight w:val="none"/>
              </w:rPr>
              <w:t>件</w:t>
            </w:r>
            <w:r>
              <w:rPr>
                <w:sz w:val="21"/>
                <w:highlight w:val="none"/>
              </w:rPr>
              <w:t>）投</w:t>
            </w:r>
            <w:r>
              <w:rPr>
                <w:spacing w:val="-3"/>
                <w:sz w:val="21"/>
                <w:highlight w:val="none"/>
              </w:rPr>
              <w:t>标</w:t>
            </w:r>
            <w:r>
              <w:rPr>
                <w:sz w:val="21"/>
                <w:highlight w:val="none"/>
              </w:rPr>
              <w:t>文件</w:t>
            </w:r>
          </w:p>
          <w:p w14:paraId="546A4AD3">
            <w:pPr>
              <w:pStyle w:val="154"/>
              <w:keepNext w:val="0"/>
              <w:keepLines w:val="0"/>
              <w:pageBreakBefore w:val="0"/>
              <w:widowControl w:val="0"/>
              <w:tabs>
                <w:tab w:val="left" w:pos="738"/>
                <w:tab w:val="left" w:pos="1264"/>
              </w:tabs>
              <w:kinsoku/>
              <w:wordWrap/>
              <w:overflowPunct/>
              <w:topLinePunct w:val="0"/>
              <w:bidi w:val="0"/>
              <w:adjustRightInd w:val="0"/>
              <w:snapToGrid w:val="0"/>
              <w:spacing w:line="240" w:lineRule="auto"/>
              <w:ind w:left="0" w:right="0"/>
              <w:jc w:val="both"/>
              <w:textAlignment w:val="auto"/>
              <w:rPr>
                <w:spacing w:val="-15"/>
                <w:sz w:val="21"/>
                <w:highlight w:val="none"/>
              </w:rPr>
            </w:pPr>
            <w:r>
              <w:rPr>
                <w:sz w:val="21"/>
                <w:highlight w:val="none"/>
              </w:rPr>
              <w:t>在</w:t>
            </w:r>
            <w:r>
              <w:rPr>
                <w:sz w:val="21"/>
                <w:highlight w:val="none"/>
                <w:u w:val="single"/>
              </w:rPr>
              <w:t xml:space="preserve"> </w:t>
            </w:r>
            <w:r>
              <w:rPr>
                <w:sz w:val="21"/>
                <w:highlight w:val="none"/>
                <w:u w:val="single"/>
              </w:rPr>
              <w:tab/>
            </w:r>
            <w:r>
              <w:rPr>
                <w:sz w:val="21"/>
                <w:highlight w:val="none"/>
              </w:rPr>
              <w:t>年</w:t>
            </w:r>
            <w:r>
              <w:rPr>
                <w:sz w:val="21"/>
                <w:highlight w:val="none"/>
                <w:u w:val="single"/>
              </w:rPr>
              <w:t xml:space="preserve"> </w:t>
            </w:r>
            <w:r>
              <w:rPr>
                <w:sz w:val="21"/>
                <w:highlight w:val="none"/>
                <w:u w:val="single"/>
              </w:rPr>
              <w:tab/>
            </w:r>
            <w:r>
              <w:rPr>
                <w:sz w:val="21"/>
                <w:highlight w:val="none"/>
              </w:rPr>
              <w:t>月</w:t>
            </w:r>
            <w:r>
              <w:rPr>
                <w:spacing w:val="1"/>
                <w:sz w:val="21"/>
                <w:highlight w:val="none"/>
                <w:u w:val="single"/>
              </w:rPr>
              <w:t xml:space="preserve"> </w:t>
            </w:r>
            <w:r>
              <w:rPr>
                <w:sz w:val="21"/>
                <w:highlight w:val="none"/>
              </w:rPr>
              <w:t>日</w:t>
            </w:r>
            <w:r>
              <w:rPr>
                <w:sz w:val="21"/>
                <w:highlight w:val="none"/>
                <w:u w:val="single"/>
              </w:rPr>
              <w:t xml:space="preserve"> </w:t>
            </w:r>
            <w:r>
              <w:rPr>
                <w:spacing w:val="2"/>
                <w:sz w:val="21"/>
                <w:highlight w:val="none"/>
                <w:u w:val="single"/>
              </w:rPr>
              <w:t xml:space="preserve"> </w:t>
            </w:r>
            <w:r>
              <w:rPr>
                <w:sz w:val="21"/>
                <w:highlight w:val="none"/>
              </w:rPr>
              <w:t>时</w:t>
            </w:r>
            <w:r>
              <w:rPr>
                <w:sz w:val="21"/>
                <w:highlight w:val="none"/>
                <w:u w:val="single"/>
              </w:rPr>
              <w:t xml:space="preserve">  </w:t>
            </w:r>
            <w:r>
              <w:rPr>
                <w:sz w:val="21"/>
                <w:highlight w:val="none"/>
              </w:rPr>
              <w:t>分前</w:t>
            </w:r>
            <w:r>
              <w:rPr>
                <w:spacing w:val="-3"/>
                <w:sz w:val="21"/>
                <w:highlight w:val="none"/>
              </w:rPr>
              <w:t>不</w:t>
            </w:r>
            <w:r>
              <w:rPr>
                <w:sz w:val="21"/>
                <w:highlight w:val="none"/>
              </w:rPr>
              <w:t>得</w:t>
            </w:r>
            <w:r>
              <w:rPr>
                <w:spacing w:val="-3"/>
                <w:sz w:val="21"/>
                <w:highlight w:val="none"/>
              </w:rPr>
              <w:t>开</w:t>
            </w:r>
            <w:r>
              <w:rPr>
                <w:spacing w:val="-15"/>
                <w:sz w:val="21"/>
                <w:highlight w:val="none"/>
              </w:rPr>
              <w:t>启</w:t>
            </w:r>
          </w:p>
          <w:p w14:paraId="51554CE8">
            <w:pPr>
              <w:pStyle w:val="154"/>
              <w:keepNext w:val="0"/>
              <w:keepLines w:val="0"/>
              <w:pageBreakBefore w:val="0"/>
              <w:widowControl w:val="0"/>
              <w:tabs>
                <w:tab w:val="left" w:pos="738"/>
                <w:tab w:val="left" w:pos="1264"/>
              </w:tabs>
              <w:kinsoku/>
              <w:wordWrap/>
              <w:overflowPunct/>
              <w:topLinePunct w:val="0"/>
              <w:bidi w:val="0"/>
              <w:adjustRightInd w:val="0"/>
              <w:snapToGrid w:val="0"/>
              <w:spacing w:line="240" w:lineRule="auto"/>
              <w:ind w:left="0" w:right="0"/>
              <w:jc w:val="both"/>
              <w:textAlignment w:val="auto"/>
              <w:rPr>
                <w:sz w:val="24"/>
                <w:highlight w:val="none"/>
              </w:rPr>
            </w:pPr>
            <w:r>
              <w:rPr>
                <w:sz w:val="21"/>
                <w:highlight w:val="none"/>
              </w:rPr>
              <w:t>投标</w:t>
            </w:r>
            <w:r>
              <w:rPr>
                <w:spacing w:val="-3"/>
                <w:sz w:val="21"/>
                <w:highlight w:val="none"/>
              </w:rPr>
              <w:t>人</w:t>
            </w:r>
            <w:r>
              <w:rPr>
                <w:sz w:val="21"/>
                <w:highlight w:val="none"/>
              </w:rPr>
              <w:t>名</w:t>
            </w:r>
            <w:r>
              <w:rPr>
                <w:spacing w:val="-3"/>
                <w:sz w:val="21"/>
                <w:highlight w:val="none"/>
              </w:rPr>
              <w:t>称</w:t>
            </w:r>
            <w:r>
              <w:rPr>
                <w:sz w:val="21"/>
                <w:highlight w:val="none"/>
              </w:rPr>
              <w:t>：</w:t>
            </w:r>
            <w:r>
              <w:rPr>
                <w:sz w:val="24"/>
                <w:highlight w:val="none"/>
                <w:u w:val="single"/>
              </w:rPr>
              <w:t xml:space="preserve">        </w:t>
            </w:r>
            <w:r>
              <w:rPr>
                <w:spacing w:val="-3"/>
                <w:sz w:val="24"/>
                <w:highlight w:val="none"/>
                <w:u w:val="single"/>
              </w:rPr>
              <w:t xml:space="preserve"> </w:t>
            </w:r>
            <w:r>
              <w:rPr>
                <w:sz w:val="24"/>
                <w:highlight w:val="none"/>
                <w:u w:val="single"/>
              </w:rPr>
              <w:t xml:space="preserve">           </w:t>
            </w:r>
          </w:p>
          <w:p w14:paraId="6B0383EE">
            <w:pPr>
              <w:pStyle w:val="154"/>
              <w:keepNext w:val="0"/>
              <w:keepLines w:val="0"/>
              <w:pageBreakBefore w:val="0"/>
              <w:widowControl w:val="0"/>
              <w:tabs>
                <w:tab w:val="left" w:pos="3304"/>
              </w:tabs>
              <w:kinsoku/>
              <w:wordWrap/>
              <w:overflowPunct/>
              <w:topLinePunct w:val="0"/>
              <w:bidi w:val="0"/>
              <w:adjustRightInd w:val="0"/>
              <w:snapToGrid w:val="0"/>
              <w:spacing w:line="240" w:lineRule="auto"/>
              <w:ind w:left="0" w:right="0"/>
              <w:jc w:val="both"/>
              <w:textAlignment w:val="auto"/>
              <w:rPr>
                <w:b/>
                <w:sz w:val="21"/>
                <w:highlight w:val="none"/>
              </w:rPr>
            </w:pPr>
          </w:p>
          <w:p w14:paraId="0728C775">
            <w:pPr>
              <w:pStyle w:val="154"/>
              <w:keepNext w:val="0"/>
              <w:keepLines w:val="0"/>
              <w:pageBreakBefore w:val="0"/>
              <w:widowControl w:val="0"/>
              <w:tabs>
                <w:tab w:val="left" w:pos="3304"/>
              </w:tabs>
              <w:kinsoku/>
              <w:wordWrap/>
              <w:overflowPunct/>
              <w:topLinePunct w:val="0"/>
              <w:bidi w:val="0"/>
              <w:adjustRightInd w:val="0"/>
              <w:snapToGrid w:val="0"/>
              <w:spacing w:line="240" w:lineRule="auto"/>
              <w:ind w:left="0" w:right="0"/>
              <w:jc w:val="both"/>
              <w:textAlignment w:val="auto"/>
              <w:rPr>
                <w:b/>
                <w:spacing w:val="-16"/>
                <w:sz w:val="21"/>
                <w:highlight w:val="none"/>
              </w:rPr>
            </w:pPr>
            <w:r>
              <w:rPr>
                <w:b/>
                <w:sz w:val="21"/>
                <w:highlight w:val="none"/>
              </w:rPr>
              <w:t>投标文件第二个信</w:t>
            </w:r>
            <w:r>
              <w:rPr>
                <w:b/>
                <w:spacing w:val="-3"/>
                <w:sz w:val="21"/>
                <w:highlight w:val="none"/>
              </w:rPr>
              <w:t>封</w:t>
            </w:r>
            <w:r>
              <w:rPr>
                <w:b/>
                <w:sz w:val="21"/>
                <w:highlight w:val="none"/>
              </w:rPr>
              <w:t>（</w:t>
            </w:r>
            <w:r>
              <w:rPr>
                <w:b/>
                <w:spacing w:val="-3"/>
                <w:sz w:val="21"/>
                <w:highlight w:val="none"/>
              </w:rPr>
              <w:t>报</w:t>
            </w:r>
            <w:r>
              <w:rPr>
                <w:b/>
                <w:sz w:val="21"/>
                <w:highlight w:val="none"/>
              </w:rPr>
              <w:t>价文件）封套</w:t>
            </w:r>
            <w:r>
              <w:rPr>
                <w:b/>
                <w:spacing w:val="-16"/>
                <w:sz w:val="21"/>
                <w:highlight w:val="none"/>
              </w:rPr>
              <w:t xml:space="preserve">： </w:t>
            </w:r>
          </w:p>
          <w:p w14:paraId="228CB0E1">
            <w:pPr>
              <w:pStyle w:val="154"/>
              <w:keepNext w:val="0"/>
              <w:keepLines w:val="0"/>
              <w:pageBreakBefore w:val="0"/>
              <w:widowControl w:val="0"/>
              <w:tabs>
                <w:tab w:val="left" w:pos="3304"/>
              </w:tabs>
              <w:kinsoku/>
              <w:wordWrap/>
              <w:overflowPunct/>
              <w:topLinePunct w:val="0"/>
              <w:bidi w:val="0"/>
              <w:adjustRightInd w:val="0"/>
              <w:snapToGrid w:val="0"/>
              <w:spacing w:line="240" w:lineRule="auto"/>
              <w:ind w:left="0" w:right="0"/>
              <w:jc w:val="both"/>
              <w:textAlignment w:val="auto"/>
              <w:rPr>
                <w:rFonts w:ascii="Times New Roman" w:eastAsia="Times New Roman"/>
                <w:sz w:val="21"/>
                <w:highlight w:val="none"/>
              </w:rPr>
            </w:pPr>
            <w:r>
              <w:rPr>
                <w:sz w:val="21"/>
                <w:highlight w:val="none"/>
              </w:rPr>
              <w:t>招标</w:t>
            </w:r>
            <w:r>
              <w:rPr>
                <w:spacing w:val="-3"/>
                <w:sz w:val="21"/>
                <w:highlight w:val="none"/>
              </w:rPr>
              <w:t>人</w:t>
            </w:r>
            <w:r>
              <w:rPr>
                <w:sz w:val="21"/>
                <w:highlight w:val="none"/>
              </w:rPr>
              <w:t>名</w:t>
            </w:r>
            <w:r>
              <w:rPr>
                <w:spacing w:val="-3"/>
                <w:sz w:val="21"/>
                <w:highlight w:val="none"/>
              </w:rPr>
              <w:t>称</w:t>
            </w:r>
            <w:r>
              <w:rPr>
                <w:sz w:val="21"/>
                <w:highlight w:val="none"/>
              </w:rPr>
              <w:t>：</w:t>
            </w:r>
            <w:r>
              <w:rPr>
                <w:rFonts w:ascii="Times New Roman" w:eastAsia="Times New Roman"/>
                <w:sz w:val="21"/>
                <w:highlight w:val="none"/>
                <w:u w:val="single"/>
              </w:rPr>
              <w:t xml:space="preserve"> </w:t>
            </w:r>
            <w:r>
              <w:rPr>
                <w:rFonts w:ascii="Times New Roman" w:eastAsia="Times New Roman"/>
                <w:sz w:val="21"/>
                <w:highlight w:val="none"/>
                <w:u w:val="single"/>
              </w:rPr>
              <w:tab/>
            </w:r>
          </w:p>
          <w:p w14:paraId="795BC0BC">
            <w:pPr>
              <w:pStyle w:val="154"/>
              <w:keepNext w:val="0"/>
              <w:keepLines w:val="0"/>
              <w:pageBreakBefore w:val="0"/>
              <w:widowControl w:val="0"/>
              <w:tabs>
                <w:tab w:val="left" w:pos="3304"/>
              </w:tabs>
              <w:kinsoku/>
              <w:wordWrap/>
              <w:overflowPunct/>
              <w:topLinePunct w:val="0"/>
              <w:bidi w:val="0"/>
              <w:adjustRightInd w:val="0"/>
              <w:snapToGrid w:val="0"/>
              <w:spacing w:line="240" w:lineRule="auto"/>
              <w:ind w:left="0" w:right="0"/>
              <w:jc w:val="both"/>
              <w:textAlignment w:val="auto"/>
              <w:rPr>
                <w:rFonts w:ascii="Times New Roman" w:eastAsia="Times New Roman"/>
                <w:sz w:val="21"/>
                <w:highlight w:val="none"/>
              </w:rPr>
            </w:pPr>
            <w:r>
              <w:rPr>
                <w:sz w:val="21"/>
                <w:highlight w:val="none"/>
              </w:rPr>
              <w:t>招标</w:t>
            </w:r>
            <w:r>
              <w:rPr>
                <w:spacing w:val="-3"/>
                <w:sz w:val="21"/>
                <w:highlight w:val="none"/>
              </w:rPr>
              <w:t>人</w:t>
            </w:r>
            <w:r>
              <w:rPr>
                <w:sz w:val="21"/>
                <w:highlight w:val="none"/>
              </w:rPr>
              <w:t>地</w:t>
            </w:r>
            <w:r>
              <w:rPr>
                <w:spacing w:val="-3"/>
                <w:sz w:val="21"/>
                <w:highlight w:val="none"/>
              </w:rPr>
              <w:t>址</w:t>
            </w:r>
            <w:r>
              <w:rPr>
                <w:sz w:val="21"/>
                <w:highlight w:val="none"/>
              </w:rPr>
              <w:t>：</w:t>
            </w:r>
            <w:r>
              <w:rPr>
                <w:rFonts w:ascii="Times New Roman" w:eastAsia="Times New Roman"/>
                <w:sz w:val="21"/>
                <w:highlight w:val="none"/>
                <w:u w:val="single"/>
              </w:rPr>
              <w:t xml:space="preserve"> </w:t>
            </w:r>
            <w:r>
              <w:rPr>
                <w:rFonts w:ascii="Times New Roman" w:eastAsia="Times New Roman"/>
                <w:sz w:val="21"/>
                <w:highlight w:val="none"/>
                <w:u w:val="single"/>
              </w:rPr>
              <w:tab/>
            </w:r>
          </w:p>
          <w:p w14:paraId="7566831B">
            <w:pPr>
              <w:pStyle w:val="154"/>
              <w:keepNext w:val="0"/>
              <w:keepLines w:val="0"/>
              <w:pageBreakBefore w:val="0"/>
              <w:widowControl w:val="0"/>
              <w:tabs>
                <w:tab w:val="left" w:pos="738"/>
                <w:tab w:val="left" w:pos="2658"/>
              </w:tabs>
              <w:kinsoku/>
              <w:wordWrap/>
              <w:overflowPunct/>
              <w:topLinePunct w:val="0"/>
              <w:bidi w:val="0"/>
              <w:adjustRightInd w:val="0"/>
              <w:snapToGrid w:val="0"/>
              <w:spacing w:line="240" w:lineRule="auto"/>
              <w:ind w:left="0" w:right="0"/>
              <w:jc w:val="both"/>
              <w:textAlignment w:val="auto"/>
              <w:rPr>
                <w:sz w:val="21"/>
                <w:highlight w:val="none"/>
              </w:rPr>
            </w:pPr>
            <w:r>
              <w:rPr>
                <w:rFonts w:ascii="Times New Roman" w:eastAsia="Times New Roman"/>
                <w:w w:val="100"/>
                <w:sz w:val="21"/>
                <w:highlight w:val="none"/>
                <w:u w:val="single"/>
              </w:rPr>
              <w:t xml:space="preserve"> </w:t>
            </w:r>
            <w:r>
              <w:rPr>
                <w:rFonts w:ascii="Times New Roman" w:eastAsia="Times New Roman"/>
                <w:sz w:val="21"/>
                <w:highlight w:val="none"/>
                <w:u w:val="single"/>
              </w:rPr>
              <w:tab/>
            </w:r>
            <w:r>
              <w:rPr>
                <w:sz w:val="21"/>
                <w:highlight w:val="none"/>
              </w:rPr>
              <w:t>（项目名称</w:t>
            </w:r>
            <w:r>
              <w:rPr>
                <w:spacing w:val="3"/>
                <w:sz w:val="21"/>
                <w:highlight w:val="none"/>
              </w:rPr>
              <w:t>）</w:t>
            </w:r>
            <w:r>
              <w:rPr>
                <w:spacing w:val="3"/>
                <w:sz w:val="21"/>
                <w:highlight w:val="none"/>
                <w:u w:val="single"/>
              </w:rPr>
              <w:t xml:space="preserve"> </w:t>
            </w:r>
            <w:r>
              <w:rPr>
                <w:spacing w:val="3"/>
                <w:sz w:val="21"/>
                <w:highlight w:val="none"/>
                <w:u w:val="single"/>
              </w:rPr>
              <w:tab/>
            </w:r>
            <w:r>
              <w:rPr>
                <w:rFonts w:hint="eastAsia"/>
                <w:sz w:val="21"/>
                <w:highlight w:val="none"/>
                <w:lang w:val="en-US" w:eastAsia="zh-CN"/>
              </w:rPr>
              <w:t>标段</w:t>
            </w:r>
            <w:r>
              <w:rPr>
                <w:sz w:val="21"/>
                <w:highlight w:val="none"/>
              </w:rPr>
              <w:t>招标第</w:t>
            </w:r>
            <w:r>
              <w:rPr>
                <w:spacing w:val="-16"/>
                <w:sz w:val="21"/>
                <w:highlight w:val="none"/>
              </w:rPr>
              <w:t>二</w:t>
            </w:r>
            <w:r>
              <w:rPr>
                <w:sz w:val="21"/>
                <w:highlight w:val="none"/>
              </w:rPr>
              <w:t>个信</w:t>
            </w:r>
            <w:r>
              <w:rPr>
                <w:spacing w:val="-3"/>
                <w:sz w:val="21"/>
                <w:highlight w:val="none"/>
              </w:rPr>
              <w:t>封</w:t>
            </w:r>
            <w:r>
              <w:rPr>
                <w:sz w:val="21"/>
                <w:highlight w:val="none"/>
              </w:rPr>
              <w:t>（</w:t>
            </w:r>
            <w:r>
              <w:rPr>
                <w:spacing w:val="-3"/>
                <w:sz w:val="21"/>
                <w:highlight w:val="none"/>
              </w:rPr>
              <w:t>报</w:t>
            </w:r>
            <w:r>
              <w:rPr>
                <w:sz w:val="21"/>
                <w:highlight w:val="none"/>
              </w:rPr>
              <w:t>价</w:t>
            </w:r>
            <w:r>
              <w:rPr>
                <w:spacing w:val="-3"/>
                <w:sz w:val="21"/>
                <w:highlight w:val="none"/>
              </w:rPr>
              <w:t>文</w:t>
            </w:r>
            <w:r>
              <w:rPr>
                <w:sz w:val="21"/>
                <w:highlight w:val="none"/>
              </w:rPr>
              <w:t>件</w:t>
            </w:r>
            <w:r>
              <w:rPr>
                <w:spacing w:val="-3"/>
                <w:sz w:val="21"/>
                <w:highlight w:val="none"/>
              </w:rPr>
              <w:t>）</w:t>
            </w:r>
            <w:r>
              <w:rPr>
                <w:sz w:val="21"/>
                <w:highlight w:val="none"/>
              </w:rPr>
              <w:t>投</w:t>
            </w:r>
            <w:r>
              <w:rPr>
                <w:spacing w:val="-3"/>
                <w:sz w:val="21"/>
                <w:highlight w:val="none"/>
              </w:rPr>
              <w:t>标</w:t>
            </w:r>
            <w:r>
              <w:rPr>
                <w:sz w:val="21"/>
                <w:highlight w:val="none"/>
              </w:rPr>
              <w:t>文件</w:t>
            </w:r>
          </w:p>
          <w:p w14:paraId="3336E882">
            <w:pPr>
              <w:pStyle w:val="154"/>
              <w:keepNext w:val="0"/>
              <w:keepLines w:val="0"/>
              <w:pageBreakBefore w:val="0"/>
              <w:widowControl w:val="0"/>
              <w:kinsoku/>
              <w:wordWrap/>
              <w:overflowPunct/>
              <w:topLinePunct w:val="0"/>
              <w:bidi w:val="0"/>
              <w:adjustRightInd w:val="0"/>
              <w:snapToGrid w:val="0"/>
              <w:spacing w:line="240" w:lineRule="auto"/>
              <w:ind w:left="0" w:right="0"/>
              <w:jc w:val="both"/>
              <w:textAlignment w:val="auto"/>
              <w:rPr>
                <w:sz w:val="21"/>
                <w:highlight w:val="none"/>
              </w:rPr>
            </w:pPr>
            <w:r>
              <w:rPr>
                <w:sz w:val="21"/>
                <w:highlight w:val="none"/>
              </w:rPr>
              <w:t>在投标文件第二个信封（报价文件）开标前不得开启</w:t>
            </w:r>
          </w:p>
          <w:p w14:paraId="3F7CA419">
            <w:pPr>
              <w:pStyle w:val="154"/>
              <w:keepNext w:val="0"/>
              <w:keepLines w:val="0"/>
              <w:pageBreakBefore w:val="0"/>
              <w:widowControl w:val="0"/>
              <w:tabs>
                <w:tab w:val="left" w:pos="3888"/>
                <w:tab w:val="left" w:pos="3935"/>
              </w:tabs>
              <w:kinsoku/>
              <w:wordWrap/>
              <w:overflowPunct/>
              <w:topLinePunct w:val="0"/>
              <w:bidi w:val="0"/>
              <w:adjustRightInd w:val="0"/>
              <w:snapToGrid w:val="0"/>
              <w:spacing w:line="240" w:lineRule="auto"/>
              <w:ind w:left="0" w:right="0"/>
              <w:jc w:val="both"/>
              <w:textAlignment w:val="auto"/>
              <w:rPr>
                <w:rFonts w:hint="eastAsia" w:ascii="宋体" w:hAnsi="宋体"/>
                <w:b/>
                <w:szCs w:val="21"/>
                <w:highlight w:val="none"/>
              </w:rPr>
            </w:pPr>
            <w:r>
              <w:rPr>
                <w:sz w:val="21"/>
                <w:highlight w:val="none"/>
              </w:rPr>
              <w:t>投标</w:t>
            </w:r>
            <w:r>
              <w:rPr>
                <w:spacing w:val="-3"/>
                <w:sz w:val="21"/>
                <w:highlight w:val="none"/>
              </w:rPr>
              <w:t>人</w:t>
            </w:r>
            <w:r>
              <w:rPr>
                <w:sz w:val="21"/>
                <w:highlight w:val="none"/>
              </w:rPr>
              <w:t>名</w:t>
            </w:r>
            <w:r>
              <w:rPr>
                <w:spacing w:val="-3"/>
                <w:sz w:val="21"/>
                <w:highlight w:val="none"/>
              </w:rPr>
              <w:t>称</w:t>
            </w:r>
            <w:r>
              <w:rPr>
                <w:sz w:val="21"/>
                <w:highlight w:val="none"/>
              </w:rPr>
              <w:t>：</w:t>
            </w:r>
            <w:r>
              <w:rPr>
                <w:sz w:val="21"/>
                <w:highlight w:val="none"/>
                <w:u w:val="single"/>
              </w:rPr>
              <w:tab/>
            </w:r>
            <w:r>
              <w:rPr>
                <w:sz w:val="21"/>
                <w:highlight w:val="none"/>
                <w:u w:val="single"/>
              </w:rPr>
              <w:tab/>
            </w:r>
            <w:r>
              <w:rPr>
                <w:sz w:val="21"/>
                <w:highlight w:val="none"/>
                <w:u w:val="single"/>
              </w:rPr>
              <w:t xml:space="preserve">                       </w:t>
            </w:r>
            <w:r>
              <w:rPr>
                <w:sz w:val="21"/>
                <w:highlight w:val="none"/>
              </w:rPr>
              <w:t>投标</w:t>
            </w:r>
            <w:r>
              <w:rPr>
                <w:spacing w:val="-3"/>
                <w:sz w:val="21"/>
                <w:highlight w:val="none"/>
              </w:rPr>
              <w:t>人</w:t>
            </w:r>
            <w:r>
              <w:rPr>
                <w:sz w:val="21"/>
                <w:highlight w:val="none"/>
              </w:rPr>
              <w:t>地</w:t>
            </w:r>
            <w:r>
              <w:rPr>
                <w:spacing w:val="-3"/>
                <w:sz w:val="21"/>
                <w:highlight w:val="none"/>
              </w:rPr>
              <w:t>址</w:t>
            </w:r>
            <w:r>
              <w:rPr>
                <w:sz w:val="21"/>
                <w:highlight w:val="none"/>
              </w:rPr>
              <w:t>：</w:t>
            </w:r>
            <w:r>
              <w:rPr>
                <w:sz w:val="21"/>
                <w:highlight w:val="none"/>
                <w:u w:val="single"/>
              </w:rPr>
              <w:t xml:space="preserve"> </w:t>
            </w:r>
            <w:r>
              <w:rPr>
                <w:spacing w:val="-3"/>
                <w:sz w:val="21"/>
                <w:highlight w:val="none"/>
                <w:u w:val="single"/>
              </w:rPr>
              <w:t xml:space="preserve"> </w:t>
            </w:r>
            <w:r>
              <w:rPr>
                <w:sz w:val="21"/>
                <w:highlight w:val="none"/>
                <w:u w:val="single"/>
              </w:rPr>
              <w:t xml:space="preserve">   </w:t>
            </w:r>
            <w:r>
              <w:rPr>
                <w:spacing w:val="-3"/>
                <w:sz w:val="21"/>
                <w:highlight w:val="none"/>
                <w:u w:val="single"/>
              </w:rPr>
              <w:t xml:space="preserve"> </w:t>
            </w:r>
            <w:r>
              <w:rPr>
                <w:sz w:val="21"/>
                <w:highlight w:val="none"/>
                <w:u w:val="single"/>
              </w:rPr>
              <w:t xml:space="preserve">   </w:t>
            </w:r>
            <w:r>
              <w:rPr>
                <w:spacing w:val="-3"/>
                <w:sz w:val="21"/>
                <w:highlight w:val="none"/>
                <w:u w:val="single"/>
              </w:rPr>
              <w:t xml:space="preserve">  </w:t>
            </w:r>
            <w:r>
              <w:rPr>
                <w:sz w:val="21"/>
                <w:highlight w:val="none"/>
                <w:u w:val="single"/>
              </w:rPr>
              <w:t xml:space="preserve">     </w:t>
            </w:r>
            <w:r>
              <w:rPr>
                <w:spacing w:val="-3"/>
                <w:sz w:val="21"/>
                <w:highlight w:val="none"/>
                <w:u w:val="single"/>
              </w:rPr>
              <w:t xml:space="preserve"> </w:t>
            </w:r>
            <w:r>
              <w:rPr>
                <w:sz w:val="21"/>
                <w:highlight w:val="none"/>
                <w:u w:val="single"/>
              </w:rPr>
              <w:t xml:space="preserve">   </w:t>
            </w:r>
            <w:r>
              <w:rPr>
                <w:sz w:val="21"/>
                <w:highlight w:val="none"/>
                <w:u w:val="single"/>
              </w:rPr>
              <w:tab/>
            </w:r>
          </w:p>
        </w:tc>
      </w:tr>
      <w:tr w14:paraId="47D47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noWrap w:val="0"/>
            <w:vAlign w:val="center"/>
          </w:tcPr>
          <w:p w14:paraId="4F13EC64">
            <w:pPr>
              <w:adjustRightInd w:val="0"/>
              <w:snapToGrid w:val="0"/>
              <w:jc w:val="center"/>
              <w:rPr>
                <w:rFonts w:ascii="宋体" w:hAnsi="宋体"/>
                <w:szCs w:val="21"/>
                <w:highlight w:val="none"/>
              </w:rPr>
            </w:pPr>
            <w:r>
              <w:rPr>
                <w:rFonts w:ascii="宋体" w:hAnsi="宋体"/>
                <w:szCs w:val="21"/>
                <w:highlight w:val="none"/>
              </w:rPr>
              <w:t>5.1</w:t>
            </w:r>
          </w:p>
        </w:tc>
        <w:tc>
          <w:tcPr>
            <w:tcW w:w="1666" w:type="pct"/>
            <w:noWrap w:val="0"/>
            <w:vAlign w:val="center"/>
          </w:tcPr>
          <w:p w14:paraId="598F939C">
            <w:pPr>
              <w:adjustRightInd w:val="0"/>
              <w:snapToGrid w:val="0"/>
              <w:jc w:val="center"/>
              <w:rPr>
                <w:rFonts w:ascii="宋体" w:hAnsi="宋体"/>
                <w:szCs w:val="21"/>
                <w:highlight w:val="none"/>
              </w:rPr>
            </w:pPr>
            <w:r>
              <w:rPr>
                <w:rFonts w:ascii="宋体" w:hAnsi="宋体"/>
                <w:szCs w:val="21"/>
                <w:highlight w:val="none"/>
              </w:rPr>
              <w:t>开标时间和地点</w:t>
            </w:r>
          </w:p>
        </w:tc>
        <w:tc>
          <w:tcPr>
            <w:tcW w:w="2746" w:type="pct"/>
            <w:gridSpan w:val="2"/>
            <w:noWrap w:val="0"/>
            <w:vAlign w:val="center"/>
          </w:tcPr>
          <w:p w14:paraId="107A41C8">
            <w:pPr>
              <w:adjustRightInd w:val="0"/>
              <w:snapToGrid w:val="0"/>
              <w:jc w:val="left"/>
              <w:rPr>
                <w:rFonts w:ascii="宋体" w:hAnsi="宋体" w:cs="宋体"/>
                <w:szCs w:val="21"/>
                <w:highlight w:val="none"/>
              </w:rPr>
            </w:pPr>
            <w:r>
              <w:rPr>
                <w:rFonts w:hint="eastAsia" w:ascii="宋体" w:hAnsi="宋体" w:cs="宋体"/>
                <w:bCs/>
                <w:szCs w:val="21"/>
                <w:highlight w:val="none"/>
                <w:lang w:val="zh-CN"/>
              </w:rPr>
              <w:t>详见招标公告及补遗书。</w:t>
            </w:r>
          </w:p>
        </w:tc>
      </w:tr>
      <w:tr w14:paraId="08C07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tcBorders>
              <w:top w:val="single" w:color="auto" w:sz="4" w:space="0"/>
              <w:left w:val="single" w:color="auto" w:sz="4" w:space="0"/>
              <w:bottom w:val="single" w:color="auto" w:sz="4" w:space="0"/>
              <w:right w:val="single" w:color="auto" w:sz="4" w:space="0"/>
            </w:tcBorders>
            <w:noWrap w:val="0"/>
            <w:vAlign w:val="center"/>
          </w:tcPr>
          <w:p w14:paraId="019797BA">
            <w:pPr>
              <w:adjustRightInd w:val="0"/>
              <w:snapToGrid w:val="0"/>
              <w:jc w:val="center"/>
              <w:rPr>
                <w:rFonts w:ascii="宋体" w:hAnsi="宋体"/>
                <w:szCs w:val="21"/>
                <w:highlight w:val="none"/>
              </w:rPr>
            </w:pPr>
            <w:r>
              <w:rPr>
                <w:rFonts w:ascii="宋体" w:hAnsi="宋体"/>
                <w:szCs w:val="21"/>
                <w:highlight w:val="none"/>
              </w:rPr>
              <w:t>6.1.1</w:t>
            </w:r>
          </w:p>
        </w:tc>
        <w:tc>
          <w:tcPr>
            <w:tcW w:w="1666" w:type="pct"/>
            <w:tcBorders>
              <w:top w:val="single" w:color="auto" w:sz="4" w:space="0"/>
              <w:left w:val="single" w:color="auto" w:sz="4" w:space="0"/>
              <w:bottom w:val="single" w:color="auto" w:sz="4" w:space="0"/>
              <w:right w:val="single" w:color="auto" w:sz="4" w:space="0"/>
            </w:tcBorders>
            <w:noWrap w:val="0"/>
            <w:vAlign w:val="center"/>
          </w:tcPr>
          <w:p w14:paraId="0AB259DE">
            <w:pPr>
              <w:adjustRightInd w:val="0"/>
              <w:snapToGrid w:val="0"/>
              <w:jc w:val="center"/>
              <w:rPr>
                <w:rFonts w:ascii="宋体" w:hAnsi="宋体"/>
                <w:szCs w:val="21"/>
                <w:highlight w:val="none"/>
              </w:rPr>
            </w:pPr>
            <w:r>
              <w:rPr>
                <w:rFonts w:ascii="宋体" w:hAnsi="宋体"/>
                <w:szCs w:val="21"/>
                <w:highlight w:val="none"/>
              </w:rPr>
              <w:t>评标委员会的组建</w:t>
            </w:r>
          </w:p>
        </w:tc>
        <w:tc>
          <w:tcPr>
            <w:tcW w:w="2746" w:type="pct"/>
            <w:gridSpan w:val="2"/>
            <w:tcBorders>
              <w:top w:val="single" w:color="auto" w:sz="4" w:space="0"/>
              <w:left w:val="single" w:color="auto" w:sz="4" w:space="0"/>
              <w:bottom w:val="single" w:color="auto" w:sz="4" w:space="0"/>
              <w:right w:val="single" w:color="auto" w:sz="4" w:space="0"/>
            </w:tcBorders>
            <w:noWrap w:val="0"/>
            <w:vAlign w:val="center"/>
          </w:tcPr>
          <w:p w14:paraId="426B31EB">
            <w:pPr>
              <w:adjustRightInd w:val="0"/>
              <w:snapToGrid w:val="0"/>
              <w:rPr>
                <w:rFonts w:hint="eastAsia" w:ascii="宋体" w:hAnsi="宋体"/>
                <w:szCs w:val="21"/>
                <w:highlight w:val="none"/>
                <w:u w:val="none"/>
              </w:rPr>
            </w:pPr>
            <w:r>
              <w:rPr>
                <w:rFonts w:hint="eastAsia" w:ascii="宋体" w:hAnsi="宋体"/>
                <w:szCs w:val="21"/>
                <w:highlight w:val="none"/>
                <w:u w:val="none"/>
              </w:rPr>
              <w:t>评标委员会构成：5人或5人以上单数，其中招标人代表不超过成员总数的1/3，专家不少于成员总数的2/3。</w:t>
            </w:r>
          </w:p>
          <w:p w14:paraId="2B786313">
            <w:pPr>
              <w:adjustRightInd w:val="0"/>
              <w:snapToGrid w:val="0"/>
              <w:rPr>
                <w:rFonts w:hint="eastAsia" w:ascii="宋体" w:hAnsi="宋体" w:eastAsia="宋体"/>
                <w:szCs w:val="21"/>
                <w:highlight w:val="none"/>
                <w:u w:val="single"/>
                <w:lang w:eastAsia="zh-CN"/>
              </w:rPr>
            </w:pPr>
            <w:r>
              <w:rPr>
                <w:rFonts w:hint="eastAsia" w:ascii="宋体" w:hAnsi="宋体"/>
                <w:szCs w:val="21"/>
                <w:highlight w:val="none"/>
                <w:u w:val="none"/>
              </w:rPr>
              <w:t>评标专家确定方式：由招标人依法组建</w:t>
            </w:r>
            <w:r>
              <w:rPr>
                <w:rFonts w:hint="eastAsia" w:ascii="宋体" w:hAnsi="宋体"/>
                <w:szCs w:val="21"/>
                <w:highlight w:val="none"/>
                <w:u w:val="none"/>
                <w:lang w:eastAsia="zh-CN"/>
              </w:rPr>
              <w:t>。</w:t>
            </w:r>
          </w:p>
        </w:tc>
      </w:tr>
      <w:tr w14:paraId="64B09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tcBorders>
              <w:top w:val="single" w:color="auto" w:sz="4" w:space="0"/>
              <w:left w:val="single" w:color="auto" w:sz="4" w:space="0"/>
              <w:bottom w:val="single" w:color="auto" w:sz="4" w:space="0"/>
              <w:right w:val="single" w:color="auto" w:sz="4" w:space="0"/>
            </w:tcBorders>
            <w:noWrap w:val="0"/>
            <w:vAlign w:val="center"/>
          </w:tcPr>
          <w:p w14:paraId="2EB10B25">
            <w:pPr>
              <w:adjustRightInd w:val="0"/>
              <w:snapToGrid w:val="0"/>
              <w:jc w:val="center"/>
              <w:rPr>
                <w:rFonts w:ascii="宋体" w:hAnsi="宋体"/>
                <w:szCs w:val="21"/>
                <w:highlight w:val="none"/>
              </w:rPr>
            </w:pPr>
            <w:r>
              <w:rPr>
                <w:rFonts w:ascii="宋体" w:hAnsi="宋体"/>
                <w:szCs w:val="21"/>
                <w:highlight w:val="none"/>
              </w:rPr>
              <w:t>6.3.2</w:t>
            </w:r>
          </w:p>
        </w:tc>
        <w:tc>
          <w:tcPr>
            <w:tcW w:w="1666" w:type="pct"/>
            <w:tcBorders>
              <w:top w:val="single" w:color="auto" w:sz="4" w:space="0"/>
              <w:left w:val="single" w:color="auto" w:sz="4" w:space="0"/>
              <w:bottom w:val="single" w:color="auto" w:sz="4" w:space="0"/>
              <w:right w:val="single" w:color="auto" w:sz="4" w:space="0"/>
            </w:tcBorders>
            <w:noWrap w:val="0"/>
            <w:vAlign w:val="center"/>
          </w:tcPr>
          <w:p w14:paraId="7333C6E7">
            <w:pPr>
              <w:adjustRightInd w:val="0"/>
              <w:snapToGrid w:val="0"/>
              <w:jc w:val="center"/>
              <w:rPr>
                <w:rFonts w:ascii="宋体" w:hAnsi="宋体"/>
                <w:szCs w:val="21"/>
                <w:highlight w:val="none"/>
              </w:rPr>
            </w:pPr>
            <w:r>
              <w:rPr>
                <w:rFonts w:ascii="宋体" w:hAnsi="宋体"/>
                <w:spacing w:val="-2"/>
                <w:szCs w:val="21"/>
                <w:highlight w:val="none"/>
              </w:rPr>
              <w:t>评标委员会推荐中标候选人的</w:t>
            </w:r>
            <w:r>
              <w:rPr>
                <w:rFonts w:ascii="宋体" w:hAnsi="宋体"/>
                <w:szCs w:val="21"/>
                <w:highlight w:val="none"/>
              </w:rPr>
              <w:t>人数</w:t>
            </w:r>
          </w:p>
        </w:tc>
        <w:tc>
          <w:tcPr>
            <w:tcW w:w="2746" w:type="pct"/>
            <w:gridSpan w:val="2"/>
            <w:tcBorders>
              <w:top w:val="single" w:color="auto" w:sz="4" w:space="0"/>
              <w:left w:val="single" w:color="auto" w:sz="4" w:space="0"/>
              <w:bottom w:val="single" w:color="auto" w:sz="4" w:space="0"/>
              <w:right w:val="single" w:color="auto" w:sz="4" w:space="0"/>
            </w:tcBorders>
            <w:noWrap w:val="0"/>
            <w:vAlign w:val="center"/>
          </w:tcPr>
          <w:p w14:paraId="565EC749">
            <w:pPr>
              <w:adjustRightInd w:val="0"/>
              <w:snapToGrid w:val="0"/>
              <w:rPr>
                <w:rFonts w:ascii="宋体" w:hAnsi="宋体"/>
                <w:szCs w:val="21"/>
                <w:highlight w:val="none"/>
              </w:rPr>
            </w:pPr>
            <w:r>
              <w:rPr>
                <w:rFonts w:hint="eastAsia" w:ascii="宋体" w:hAnsi="宋体"/>
                <w:spacing w:val="-2"/>
                <w:szCs w:val="21"/>
                <w:highlight w:val="none"/>
              </w:rPr>
              <w:t>评标委员会推荐的中标候选人的数量为</w:t>
            </w:r>
            <w:r>
              <w:rPr>
                <w:rFonts w:ascii="宋体" w:hAnsi="宋体"/>
                <w:spacing w:val="-2"/>
                <w:szCs w:val="21"/>
                <w:highlight w:val="none"/>
              </w:rPr>
              <w:t>3</w:t>
            </w:r>
            <w:r>
              <w:rPr>
                <w:rFonts w:hint="eastAsia" w:ascii="宋体" w:hAnsi="宋体"/>
                <w:spacing w:val="-2"/>
                <w:szCs w:val="21"/>
                <w:highlight w:val="none"/>
              </w:rPr>
              <w:t>家，若有效投标人不足</w:t>
            </w:r>
            <w:r>
              <w:rPr>
                <w:rFonts w:ascii="宋体" w:hAnsi="宋体"/>
                <w:spacing w:val="-2"/>
                <w:szCs w:val="21"/>
                <w:highlight w:val="none"/>
              </w:rPr>
              <w:t>3</w:t>
            </w:r>
            <w:r>
              <w:rPr>
                <w:rFonts w:hint="eastAsia" w:ascii="宋体" w:hAnsi="宋体"/>
                <w:spacing w:val="-2"/>
                <w:szCs w:val="21"/>
                <w:highlight w:val="none"/>
              </w:rPr>
              <w:t>家的，则推荐的中标候选人的数量为有效投标人的数量。</w:t>
            </w:r>
          </w:p>
        </w:tc>
      </w:tr>
      <w:tr w14:paraId="47BA0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tcBorders>
              <w:top w:val="single" w:color="auto" w:sz="4" w:space="0"/>
              <w:left w:val="single" w:color="auto" w:sz="4" w:space="0"/>
              <w:bottom w:val="single" w:color="auto" w:sz="4" w:space="0"/>
              <w:right w:val="single" w:color="auto" w:sz="4" w:space="0"/>
            </w:tcBorders>
            <w:noWrap w:val="0"/>
            <w:vAlign w:val="center"/>
          </w:tcPr>
          <w:p w14:paraId="518D05F7">
            <w:pPr>
              <w:pStyle w:val="154"/>
              <w:kinsoku w:val="0"/>
              <w:overflowPunct w:val="0"/>
              <w:snapToGrid w:val="0"/>
              <w:jc w:val="center"/>
              <w:rPr>
                <w:rFonts w:ascii="宋体" w:hAnsi="宋体"/>
                <w:sz w:val="21"/>
                <w:szCs w:val="21"/>
                <w:highlight w:val="none"/>
              </w:rPr>
            </w:pPr>
            <w:r>
              <w:rPr>
                <w:rFonts w:ascii="宋体" w:hAnsi="宋体"/>
                <w:sz w:val="21"/>
                <w:szCs w:val="21"/>
                <w:highlight w:val="none"/>
              </w:rPr>
              <w:t>7.1</w:t>
            </w:r>
          </w:p>
        </w:tc>
        <w:tc>
          <w:tcPr>
            <w:tcW w:w="1666" w:type="pct"/>
            <w:tcBorders>
              <w:top w:val="single" w:color="auto" w:sz="4" w:space="0"/>
              <w:left w:val="single" w:color="auto" w:sz="4" w:space="0"/>
              <w:bottom w:val="single" w:color="auto" w:sz="4" w:space="0"/>
              <w:right w:val="single" w:color="auto" w:sz="4" w:space="0"/>
            </w:tcBorders>
            <w:noWrap w:val="0"/>
            <w:vAlign w:val="center"/>
          </w:tcPr>
          <w:p w14:paraId="240925BB">
            <w:pPr>
              <w:pStyle w:val="154"/>
              <w:kinsoku w:val="0"/>
              <w:overflowPunct w:val="0"/>
              <w:snapToGrid w:val="0"/>
              <w:jc w:val="center"/>
              <w:rPr>
                <w:rFonts w:ascii="宋体" w:hAnsi="宋体"/>
                <w:sz w:val="21"/>
                <w:szCs w:val="21"/>
                <w:highlight w:val="none"/>
              </w:rPr>
            </w:pPr>
            <w:r>
              <w:rPr>
                <w:rFonts w:hint="eastAsia" w:ascii="宋体" w:hAnsi="宋体"/>
                <w:spacing w:val="-2"/>
                <w:sz w:val="21"/>
                <w:szCs w:val="21"/>
                <w:highlight w:val="none"/>
                <w:lang w:eastAsia="zh-CN"/>
              </w:rPr>
              <w:t>评标结果公示</w:t>
            </w:r>
            <w:r>
              <w:rPr>
                <w:rFonts w:ascii="宋体" w:hAnsi="宋体"/>
                <w:spacing w:val="-2"/>
                <w:sz w:val="21"/>
                <w:szCs w:val="21"/>
                <w:highlight w:val="none"/>
              </w:rPr>
              <w:t>媒介及期限</w:t>
            </w:r>
          </w:p>
        </w:tc>
        <w:tc>
          <w:tcPr>
            <w:tcW w:w="2746" w:type="pct"/>
            <w:gridSpan w:val="2"/>
            <w:tcBorders>
              <w:top w:val="single" w:color="auto" w:sz="4" w:space="0"/>
              <w:left w:val="single" w:color="auto" w:sz="4" w:space="0"/>
              <w:bottom w:val="single" w:color="auto" w:sz="4" w:space="0"/>
              <w:right w:val="single" w:color="auto" w:sz="4" w:space="0"/>
            </w:tcBorders>
            <w:noWrap w:val="0"/>
            <w:vAlign w:val="center"/>
          </w:tcPr>
          <w:p w14:paraId="40FE2D4A">
            <w:pPr>
              <w:keepNext w:val="0"/>
              <w:keepLines w:val="0"/>
              <w:pageBreakBefore w:val="0"/>
              <w:widowControl w:val="0"/>
              <w:kinsoku/>
              <w:wordWrap/>
              <w:overflowPunct/>
              <w:topLinePunct w:val="0"/>
              <w:autoSpaceDE/>
              <w:autoSpaceDN/>
              <w:bidi w:val="0"/>
              <w:snapToGrid/>
              <w:spacing w:line="240" w:lineRule="auto"/>
              <w:textAlignment w:val="auto"/>
              <w:rPr>
                <w:rFonts w:hint="eastAsia" w:ascii="宋体" w:hAnsi="宋体" w:eastAsia="宋体" w:cs="宋体"/>
                <w:highlight w:val="none"/>
                <w:u w:val="single"/>
                <w:lang w:eastAsia="zh-CN"/>
              </w:rPr>
            </w:pPr>
            <w:r>
              <w:rPr>
                <w:rFonts w:hint="eastAsia" w:ascii="宋体" w:hAnsi="宋体" w:eastAsia="宋体" w:cs="宋体"/>
                <w:highlight w:val="none"/>
              </w:rPr>
              <w:t>公示媒介：</w:t>
            </w:r>
            <w:r>
              <w:rPr>
                <w:rFonts w:hint="eastAsia" w:ascii="宋体" w:hAnsi="宋体" w:eastAsia="宋体" w:cs="宋体"/>
                <w:highlight w:val="none"/>
                <w:u w:val="single"/>
              </w:rPr>
              <w:t>同招标公告发布媒介</w:t>
            </w:r>
            <w:r>
              <w:rPr>
                <w:rFonts w:hint="eastAsia" w:ascii="宋体" w:hAnsi="宋体" w:cs="宋体"/>
                <w:highlight w:val="none"/>
                <w:u w:val="none"/>
                <w:lang w:eastAsia="zh-CN"/>
              </w:rPr>
              <w:t>。</w:t>
            </w:r>
          </w:p>
          <w:p w14:paraId="469327A5">
            <w:pPr>
              <w:keepNext w:val="0"/>
              <w:keepLines w:val="0"/>
              <w:pageBreakBefore w:val="0"/>
              <w:widowControl w:val="0"/>
              <w:kinsoku/>
              <w:wordWrap/>
              <w:overflowPunct/>
              <w:topLinePunct w:val="0"/>
              <w:autoSpaceDE/>
              <w:autoSpaceDN/>
              <w:bidi w:val="0"/>
              <w:snapToGrid/>
              <w:spacing w:line="240" w:lineRule="auto"/>
              <w:textAlignment w:val="auto"/>
              <w:rPr>
                <w:rFonts w:hint="eastAsia" w:ascii="宋体" w:hAnsi="宋体" w:eastAsia="宋体" w:cs="宋体"/>
                <w:highlight w:val="none"/>
                <w:lang w:eastAsia="zh-CN"/>
              </w:rPr>
            </w:pPr>
            <w:r>
              <w:rPr>
                <w:rFonts w:hint="eastAsia" w:ascii="宋体" w:hAnsi="宋体" w:eastAsia="宋体" w:cs="宋体"/>
                <w:highlight w:val="none"/>
              </w:rPr>
              <w:t>公示期限：</w:t>
            </w:r>
            <w:r>
              <w:rPr>
                <w:rFonts w:hint="eastAsia" w:ascii="宋体" w:hAnsi="宋体" w:eastAsia="宋体" w:cs="宋体"/>
                <w:highlight w:val="none"/>
                <w:u w:val="single"/>
              </w:rPr>
              <w:t xml:space="preserve"> 3 日</w:t>
            </w:r>
            <w:r>
              <w:rPr>
                <w:rFonts w:hint="eastAsia" w:ascii="宋体" w:hAnsi="宋体" w:cs="宋体"/>
                <w:highlight w:val="none"/>
                <w:u w:val="none"/>
                <w:lang w:eastAsia="zh-CN"/>
              </w:rPr>
              <w:t>。</w:t>
            </w:r>
          </w:p>
          <w:p w14:paraId="02E6627C">
            <w:pPr>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ascii="宋体" w:hAnsi="宋体" w:eastAsia="宋体"/>
                <w:szCs w:val="21"/>
                <w:highlight w:val="none"/>
                <w:lang w:eastAsia="zh-CN"/>
              </w:rPr>
            </w:pPr>
            <w:r>
              <w:rPr>
                <w:rFonts w:hint="eastAsia" w:ascii="宋体" w:hAnsi="宋体" w:eastAsia="宋体" w:cs="宋体"/>
                <w:sz w:val="21"/>
                <w:szCs w:val="21"/>
                <w:highlight w:val="none"/>
              </w:rPr>
              <w:t>公示的其他内容：</w:t>
            </w:r>
            <w:r>
              <w:rPr>
                <w:rFonts w:hint="eastAsia" w:ascii="宋体" w:hAnsi="宋体" w:eastAsia="宋体" w:cs="宋体"/>
                <w:sz w:val="21"/>
                <w:szCs w:val="21"/>
                <w:highlight w:val="none"/>
                <w:u w:val="single"/>
              </w:rPr>
              <w:t>/</w:t>
            </w:r>
            <w:r>
              <w:rPr>
                <w:rFonts w:hint="eastAsia" w:ascii="宋体" w:hAnsi="宋体" w:cs="宋体"/>
                <w:sz w:val="21"/>
                <w:szCs w:val="21"/>
                <w:highlight w:val="none"/>
                <w:u w:val="none"/>
                <w:lang w:eastAsia="zh-CN"/>
              </w:rPr>
              <w:t>。</w:t>
            </w:r>
          </w:p>
        </w:tc>
      </w:tr>
      <w:tr w14:paraId="00BB7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tcBorders>
              <w:top w:val="single" w:color="auto" w:sz="4" w:space="0"/>
              <w:left w:val="single" w:color="auto" w:sz="4" w:space="0"/>
              <w:bottom w:val="single" w:color="auto" w:sz="4" w:space="0"/>
              <w:right w:val="single" w:color="auto" w:sz="4" w:space="0"/>
            </w:tcBorders>
            <w:noWrap w:val="0"/>
            <w:vAlign w:val="center"/>
          </w:tcPr>
          <w:p w14:paraId="0E9310A3">
            <w:pPr>
              <w:adjustRightInd w:val="0"/>
              <w:snapToGrid w:val="0"/>
              <w:jc w:val="center"/>
              <w:rPr>
                <w:rFonts w:ascii="宋体" w:hAnsi="宋体"/>
                <w:szCs w:val="21"/>
                <w:highlight w:val="none"/>
              </w:rPr>
            </w:pPr>
            <w:r>
              <w:rPr>
                <w:rFonts w:ascii="宋体" w:hAnsi="宋体"/>
                <w:szCs w:val="21"/>
                <w:highlight w:val="none"/>
              </w:rPr>
              <w:t>7.4</w:t>
            </w:r>
          </w:p>
        </w:tc>
        <w:tc>
          <w:tcPr>
            <w:tcW w:w="1666" w:type="pct"/>
            <w:tcBorders>
              <w:top w:val="single" w:color="auto" w:sz="4" w:space="0"/>
              <w:left w:val="single" w:color="auto" w:sz="4" w:space="0"/>
              <w:bottom w:val="single" w:color="auto" w:sz="4" w:space="0"/>
              <w:right w:val="single" w:color="auto" w:sz="4" w:space="0"/>
            </w:tcBorders>
            <w:noWrap w:val="0"/>
            <w:vAlign w:val="center"/>
          </w:tcPr>
          <w:p w14:paraId="205BF31B">
            <w:pPr>
              <w:adjustRightInd w:val="0"/>
              <w:snapToGrid w:val="0"/>
              <w:jc w:val="center"/>
              <w:rPr>
                <w:rFonts w:ascii="宋体" w:hAnsi="宋体"/>
                <w:szCs w:val="21"/>
                <w:highlight w:val="none"/>
              </w:rPr>
            </w:pPr>
            <w:r>
              <w:rPr>
                <w:rFonts w:ascii="宋体" w:hAnsi="宋体"/>
                <w:szCs w:val="21"/>
                <w:highlight w:val="none"/>
              </w:rPr>
              <w:t>是否授权评标委员会确定中标人</w:t>
            </w:r>
          </w:p>
        </w:tc>
        <w:tc>
          <w:tcPr>
            <w:tcW w:w="2746" w:type="pct"/>
            <w:gridSpan w:val="2"/>
            <w:tcBorders>
              <w:top w:val="single" w:color="auto" w:sz="4" w:space="0"/>
              <w:left w:val="single" w:color="auto" w:sz="4" w:space="0"/>
              <w:bottom w:val="single" w:color="auto" w:sz="4" w:space="0"/>
              <w:right w:val="single" w:color="auto" w:sz="4" w:space="0"/>
            </w:tcBorders>
            <w:noWrap w:val="0"/>
            <w:vAlign w:val="center"/>
          </w:tcPr>
          <w:p w14:paraId="3979F91B">
            <w:pPr>
              <w:adjustRightInd w:val="0"/>
              <w:snapToGrid w:val="0"/>
              <w:rPr>
                <w:rFonts w:ascii="宋体" w:hAnsi="宋体"/>
                <w:b/>
                <w:spacing w:val="-2"/>
                <w:szCs w:val="21"/>
                <w:highlight w:val="none"/>
              </w:rPr>
            </w:pPr>
            <w:r>
              <w:rPr>
                <w:rFonts w:hint="eastAsia" w:ascii="宋体" w:hAnsi="宋体" w:cs="宋体"/>
                <w:szCs w:val="21"/>
                <w:highlight w:val="none"/>
              </w:rPr>
              <w:fldChar w:fldCharType="begin"/>
            </w:r>
            <w:r>
              <w:rPr>
                <w:rFonts w:hint="eastAsia" w:ascii="宋体" w:hAnsi="宋体" w:cs="宋体"/>
                <w:szCs w:val="21"/>
                <w:highlight w:val="none"/>
              </w:rPr>
              <w:instrText xml:space="preserve"> eq \o\ac(□,×)</w:instrText>
            </w:r>
            <w:r>
              <w:rPr>
                <w:rFonts w:hint="eastAsia" w:ascii="宋体" w:hAnsi="宋体" w:cs="宋体"/>
                <w:szCs w:val="21"/>
                <w:highlight w:val="none"/>
              </w:rPr>
              <w:fldChar w:fldCharType="end"/>
            </w:r>
            <w:r>
              <w:rPr>
                <w:rFonts w:ascii="宋体" w:hAnsi="宋体"/>
                <w:spacing w:val="-2"/>
                <w:szCs w:val="21"/>
                <w:highlight w:val="none"/>
              </w:rPr>
              <w:t>是</w:t>
            </w:r>
          </w:p>
          <w:p w14:paraId="12DF00A3">
            <w:pPr>
              <w:adjustRightInd w:val="0"/>
              <w:snapToGrid w:val="0"/>
              <w:rPr>
                <w:rFonts w:hint="eastAsia" w:ascii="宋体" w:hAnsi="宋体" w:eastAsia="宋体"/>
                <w:szCs w:val="21"/>
                <w:highlight w:val="none"/>
                <w:lang w:eastAsia="zh-CN"/>
              </w:rPr>
            </w:pPr>
            <w:r>
              <w:rPr>
                <w:rFonts w:ascii="宋体" w:hAnsi="宋体"/>
                <w:szCs w:val="21"/>
                <w:highlight w:val="none"/>
              </w:rPr>
              <w:fldChar w:fldCharType="begin"/>
            </w:r>
            <w:r>
              <w:rPr>
                <w:rFonts w:ascii="宋体" w:hAnsi="宋体"/>
                <w:szCs w:val="21"/>
                <w:highlight w:val="none"/>
              </w:rPr>
              <w:instrText xml:space="preserve"> </w:instrText>
            </w:r>
            <w:r>
              <w:rPr>
                <w:rFonts w:hint="eastAsia" w:ascii="宋体" w:hAnsi="宋体"/>
                <w:szCs w:val="21"/>
                <w:highlight w:val="none"/>
              </w:rPr>
              <w:instrText xml:space="preserve">eq \o\ac(□,</w:instrText>
            </w:r>
            <w:r>
              <w:rPr>
                <w:rFonts w:hint="eastAsia" w:ascii="宋体" w:hAnsi="宋体"/>
                <w:position w:val="1"/>
                <w:szCs w:val="21"/>
                <w:highlight w:val="none"/>
              </w:rPr>
              <w:instrText xml:space="preserve">√</w:instrText>
            </w:r>
            <w:r>
              <w:rPr>
                <w:rFonts w:hint="eastAsia" w:ascii="宋体" w:hAnsi="宋体"/>
                <w:szCs w:val="21"/>
                <w:highlight w:val="none"/>
              </w:rPr>
              <w:instrText xml:space="preserve">)</w:instrText>
            </w:r>
            <w:r>
              <w:rPr>
                <w:rFonts w:ascii="宋体" w:hAnsi="宋体"/>
                <w:szCs w:val="21"/>
                <w:highlight w:val="none"/>
              </w:rPr>
              <w:fldChar w:fldCharType="end"/>
            </w:r>
            <w:r>
              <w:rPr>
                <w:rFonts w:ascii="宋体" w:hAnsi="宋体"/>
                <w:spacing w:val="-2"/>
                <w:szCs w:val="21"/>
                <w:highlight w:val="none"/>
              </w:rPr>
              <w:t>否</w:t>
            </w:r>
          </w:p>
        </w:tc>
      </w:tr>
      <w:tr w14:paraId="73076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tcBorders>
              <w:top w:val="single" w:color="auto" w:sz="4" w:space="0"/>
              <w:left w:val="single" w:color="auto" w:sz="4" w:space="0"/>
              <w:bottom w:val="single" w:color="auto" w:sz="4" w:space="0"/>
              <w:right w:val="single" w:color="auto" w:sz="4" w:space="0"/>
            </w:tcBorders>
            <w:noWrap w:val="0"/>
            <w:vAlign w:val="center"/>
          </w:tcPr>
          <w:p w14:paraId="762678C5">
            <w:pPr>
              <w:pStyle w:val="154"/>
              <w:kinsoku w:val="0"/>
              <w:overflowPunct w:val="0"/>
              <w:snapToGrid w:val="0"/>
              <w:jc w:val="center"/>
              <w:rPr>
                <w:rFonts w:ascii="宋体" w:hAnsi="宋体"/>
                <w:sz w:val="21"/>
                <w:szCs w:val="21"/>
                <w:highlight w:val="none"/>
              </w:rPr>
            </w:pPr>
            <w:r>
              <w:rPr>
                <w:rFonts w:ascii="宋体" w:hAnsi="宋体"/>
                <w:sz w:val="21"/>
                <w:szCs w:val="21"/>
                <w:highlight w:val="none"/>
              </w:rPr>
              <w:t>7.5</w:t>
            </w:r>
          </w:p>
        </w:tc>
        <w:tc>
          <w:tcPr>
            <w:tcW w:w="1666" w:type="pct"/>
            <w:tcBorders>
              <w:top w:val="single" w:color="auto" w:sz="4" w:space="0"/>
              <w:left w:val="single" w:color="auto" w:sz="4" w:space="0"/>
              <w:bottom w:val="single" w:color="auto" w:sz="4" w:space="0"/>
              <w:right w:val="single" w:color="auto" w:sz="4" w:space="0"/>
            </w:tcBorders>
            <w:noWrap w:val="0"/>
            <w:vAlign w:val="center"/>
          </w:tcPr>
          <w:p w14:paraId="6DC6EB5A">
            <w:pPr>
              <w:pStyle w:val="154"/>
              <w:kinsoku w:val="0"/>
              <w:overflowPunct w:val="0"/>
              <w:snapToGrid w:val="0"/>
              <w:jc w:val="center"/>
              <w:rPr>
                <w:rFonts w:ascii="宋体" w:hAnsi="宋体"/>
                <w:sz w:val="21"/>
                <w:szCs w:val="21"/>
                <w:highlight w:val="none"/>
              </w:rPr>
            </w:pPr>
            <w:r>
              <w:rPr>
                <w:rFonts w:ascii="宋体" w:hAnsi="宋体"/>
                <w:sz w:val="21"/>
                <w:szCs w:val="21"/>
                <w:highlight w:val="none"/>
              </w:rPr>
              <w:t>中标通知书和中标结果通知发出的形式</w:t>
            </w:r>
          </w:p>
        </w:tc>
        <w:tc>
          <w:tcPr>
            <w:tcW w:w="2746" w:type="pct"/>
            <w:gridSpan w:val="2"/>
            <w:tcBorders>
              <w:top w:val="single" w:color="auto" w:sz="4" w:space="0"/>
              <w:left w:val="single" w:color="auto" w:sz="4" w:space="0"/>
              <w:bottom w:val="single" w:color="auto" w:sz="4" w:space="0"/>
              <w:right w:val="single" w:color="auto" w:sz="4" w:space="0"/>
            </w:tcBorders>
            <w:noWrap w:val="0"/>
            <w:vAlign w:val="center"/>
          </w:tcPr>
          <w:p w14:paraId="2EF45F8F">
            <w:pPr>
              <w:pStyle w:val="154"/>
              <w:kinsoku w:val="0"/>
              <w:overflowPunct w:val="0"/>
              <w:snapToGrid w:val="0"/>
              <w:jc w:val="both"/>
              <w:rPr>
                <w:rFonts w:hint="eastAsia" w:ascii="宋体" w:hAnsi="宋体"/>
                <w:spacing w:val="-1"/>
                <w:sz w:val="21"/>
                <w:szCs w:val="21"/>
                <w:highlight w:val="none"/>
              </w:rPr>
            </w:pPr>
            <w:r>
              <w:rPr>
                <w:rFonts w:hint="eastAsia" w:ascii="宋体" w:hAnsi="宋体"/>
                <w:spacing w:val="-1"/>
                <w:sz w:val="21"/>
                <w:szCs w:val="21"/>
                <w:highlight w:val="none"/>
              </w:rPr>
              <w:t>1.中标通知书发出的形式：以传真或电子邮件的形式将中标通知书扫描件发送给中标人，中标通知书原件由中标人自行至招标人处领取。</w:t>
            </w:r>
          </w:p>
          <w:p w14:paraId="23BECE6B">
            <w:pPr>
              <w:pStyle w:val="154"/>
              <w:kinsoku w:val="0"/>
              <w:overflowPunct w:val="0"/>
              <w:snapToGrid w:val="0"/>
              <w:jc w:val="both"/>
              <w:rPr>
                <w:rFonts w:hint="eastAsia" w:ascii="宋体" w:hAnsi="宋体"/>
                <w:spacing w:val="-1"/>
                <w:sz w:val="21"/>
                <w:szCs w:val="21"/>
                <w:highlight w:val="none"/>
              </w:rPr>
            </w:pPr>
            <w:r>
              <w:rPr>
                <w:rFonts w:hint="eastAsia" w:ascii="宋体" w:hAnsi="宋体"/>
                <w:spacing w:val="-1"/>
                <w:sz w:val="21"/>
                <w:szCs w:val="21"/>
                <w:highlight w:val="none"/>
              </w:rPr>
              <w:t xml:space="preserve">2.中标结果通知发出的形式：中标结果公告见招标公告发布媒介。 </w:t>
            </w:r>
          </w:p>
          <w:p w14:paraId="4D0A60A7">
            <w:pPr>
              <w:pStyle w:val="154"/>
              <w:kinsoku w:val="0"/>
              <w:overflowPunct w:val="0"/>
              <w:snapToGrid w:val="0"/>
              <w:jc w:val="both"/>
              <w:rPr>
                <w:rFonts w:ascii="宋体" w:hAnsi="宋体"/>
                <w:spacing w:val="-1"/>
                <w:sz w:val="21"/>
                <w:szCs w:val="21"/>
                <w:highlight w:val="none"/>
              </w:rPr>
            </w:pPr>
            <w:r>
              <w:rPr>
                <w:rFonts w:hint="eastAsia" w:ascii="宋体" w:hAnsi="宋体"/>
                <w:spacing w:val="-1"/>
                <w:sz w:val="21"/>
                <w:szCs w:val="21"/>
                <w:highlight w:val="none"/>
              </w:rPr>
              <w:t>由投标人自行查看，招标人不再另行以其他形式通知未中标的投标人。</w:t>
            </w:r>
          </w:p>
        </w:tc>
      </w:tr>
      <w:tr w14:paraId="1B296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tcBorders>
              <w:top w:val="single" w:color="auto" w:sz="4" w:space="0"/>
              <w:left w:val="single" w:color="auto" w:sz="4" w:space="0"/>
              <w:bottom w:val="single" w:color="auto" w:sz="4" w:space="0"/>
              <w:right w:val="single" w:color="auto" w:sz="4" w:space="0"/>
            </w:tcBorders>
            <w:noWrap w:val="0"/>
            <w:vAlign w:val="center"/>
          </w:tcPr>
          <w:p w14:paraId="51F06A3E">
            <w:pPr>
              <w:pStyle w:val="154"/>
              <w:kinsoku w:val="0"/>
              <w:overflowPunct w:val="0"/>
              <w:snapToGrid w:val="0"/>
              <w:jc w:val="center"/>
              <w:rPr>
                <w:rFonts w:ascii="宋体" w:hAnsi="宋体"/>
                <w:sz w:val="21"/>
                <w:szCs w:val="21"/>
                <w:highlight w:val="none"/>
              </w:rPr>
            </w:pPr>
            <w:r>
              <w:rPr>
                <w:rFonts w:ascii="宋体" w:hAnsi="宋体"/>
                <w:sz w:val="21"/>
                <w:szCs w:val="21"/>
                <w:highlight w:val="none"/>
              </w:rPr>
              <w:t>7.6</w:t>
            </w:r>
          </w:p>
        </w:tc>
        <w:tc>
          <w:tcPr>
            <w:tcW w:w="1666" w:type="pct"/>
            <w:tcBorders>
              <w:top w:val="single" w:color="auto" w:sz="4" w:space="0"/>
              <w:left w:val="single" w:color="auto" w:sz="4" w:space="0"/>
              <w:bottom w:val="single" w:color="auto" w:sz="4" w:space="0"/>
              <w:right w:val="single" w:color="auto" w:sz="4" w:space="0"/>
            </w:tcBorders>
            <w:noWrap w:val="0"/>
            <w:vAlign w:val="center"/>
          </w:tcPr>
          <w:p w14:paraId="6FB8505C">
            <w:pPr>
              <w:pStyle w:val="154"/>
              <w:kinsoku w:val="0"/>
              <w:overflowPunct w:val="0"/>
              <w:snapToGrid w:val="0"/>
              <w:jc w:val="center"/>
              <w:rPr>
                <w:rFonts w:ascii="宋体" w:hAnsi="宋体"/>
                <w:sz w:val="21"/>
                <w:szCs w:val="21"/>
                <w:highlight w:val="none"/>
              </w:rPr>
            </w:pPr>
            <w:r>
              <w:rPr>
                <w:rFonts w:ascii="宋体" w:hAnsi="宋体"/>
                <w:sz w:val="21"/>
                <w:szCs w:val="21"/>
                <w:highlight w:val="none"/>
              </w:rPr>
              <w:t>中标结果公告媒介及期限</w:t>
            </w:r>
          </w:p>
        </w:tc>
        <w:tc>
          <w:tcPr>
            <w:tcW w:w="2746" w:type="pct"/>
            <w:gridSpan w:val="2"/>
            <w:tcBorders>
              <w:top w:val="single" w:color="auto" w:sz="4" w:space="0"/>
              <w:left w:val="single" w:color="auto" w:sz="4" w:space="0"/>
              <w:bottom w:val="single" w:color="auto" w:sz="4" w:space="0"/>
              <w:right w:val="single" w:color="auto" w:sz="4" w:space="0"/>
            </w:tcBorders>
            <w:noWrap w:val="0"/>
            <w:vAlign w:val="center"/>
          </w:tcPr>
          <w:p w14:paraId="578496AB">
            <w:pPr>
              <w:pStyle w:val="154"/>
              <w:kinsoku w:val="0"/>
              <w:overflowPunct w:val="0"/>
              <w:snapToGrid w:val="0"/>
              <w:rPr>
                <w:rFonts w:hint="eastAsia" w:ascii="宋体" w:hAnsi="宋体" w:eastAsia="宋体"/>
                <w:spacing w:val="-1"/>
                <w:sz w:val="21"/>
                <w:szCs w:val="21"/>
                <w:highlight w:val="none"/>
                <w:lang w:eastAsia="zh-CN"/>
              </w:rPr>
            </w:pPr>
            <w:r>
              <w:rPr>
                <w:rFonts w:hint="eastAsia" w:ascii="宋体" w:hAnsi="宋体"/>
                <w:spacing w:val="-1"/>
                <w:sz w:val="21"/>
                <w:szCs w:val="21"/>
                <w:highlight w:val="none"/>
              </w:rPr>
              <w:t>公告媒介：同招标公告发布媒介</w:t>
            </w:r>
            <w:r>
              <w:rPr>
                <w:rFonts w:hint="eastAsia" w:ascii="宋体" w:hAnsi="宋体"/>
                <w:spacing w:val="-1"/>
                <w:sz w:val="21"/>
                <w:szCs w:val="21"/>
                <w:highlight w:val="none"/>
                <w:lang w:eastAsia="zh-CN"/>
              </w:rPr>
              <w:t>。</w:t>
            </w:r>
          </w:p>
          <w:p w14:paraId="429A8FA9">
            <w:pPr>
              <w:pStyle w:val="154"/>
              <w:kinsoku w:val="0"/>
              <w:overflowPunct w:val="0"/>
              <w:snapToGrid w:val="0"/>
              <w:rPr>
                <w:rFonts w:hint="eastAsia" w:ascii="宋体" w:hAnsi="宋体" w:eastAsia="宋体"/>
                <w:sz w:val="21"/>
                <w:szCs w:val="21"/>
                <w:highlight w:val="none"/>
                <w:lang w:eastAsia="zh-CN"/>
              </w:rPr>
            </w:pPr>
            <w:r>
              <w:rPr>
                <w:rFonts w:hint="eastAsia" w:ascii="宋体" w:hAnsi="宋体"/>
                <w:spacing w:val="-1"/>
                <w:sz w:val="21"/>
                <w:szCs w:val="21"/>
                <w:highlight w:val="none"/>
              </w:rPr>
              <w:t>公告期限：3日</w:t>
            </w:r>
            <w:r>
              <w:rPr>
                <w:rFonts w:hint="eastAsia" w:ascii="宋体" w:hAnsi="宋体"/>
                <w:spacing w:val="-1"/>
                <w:sz w:val="21"/>
                <w:szCs w:val="21"/>
                <w:highlight w:val="none"/>
                <w:lang w:eastAsia="zh-CN"/>
              </w:rPr>
              <w:t>。</w:t>
            </w:r>
          </w:p>
        </w:tc>
      </w:tr>
      <w:tr w14:paraId="2FB62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tcBorders>
              <w:top w:val="single" w:color="auto" w:sz="4" w:space="0"/>
              <w:left w:val="single" w:color="auto" w:sz="4" w:space="0"/>
              <w:bottom w:val="single" w:color="auto" w:sz="4" w:space="0"/>
              <w:right w:val="single" w:color="auto" w:sz="4" w:space="0"/>
            </w:tcBorders>
            <w:noWrap w:val="0"/>
            <w:vAlign w:val="center"/>
          </w:tcPr>
          <w:p w14:paraId="037F9AE3">
            <w:pPr>
              <w:adjustRightInd w:val="0"/>
              <w:snapToGrid w:val="0"/>
              <w:jc w:val="center"/>
              <w:rPr>
                <w:rFonts w:ascii="宋体" w:hAnsi="宋体"/>
                <w:szCs w:val="21"/>
                <w:highlight w:val="none"/>
              </w:rPr>
            </w:pPr>
            <w:r>
              <w:rPr>
                <w:rFonts w:ascii="宋体" w:hAnsi="宋体"/>
                <w:szCs w:val="21"/>
                <w:highlight w:val="none"/>
              </w:rPr>
              <w:t>7.7</w:t>
            </w:r>
          </w:p>
        </w:tc>
        <w:tc>
          <w:tcPr>
            <w:tcW w:w="1666" w:type="pct"/>
            <w:tcBorders>
              <w:top w:val="single" w:color="auto" w:sz="4" w:space="0"/>
              <w:left w:val="single" w:color="auto" w:sz="4" w:space="0"/>
              <w:bottom w:val="single" w:color="auto" w:sz="4" w:space="0"/>
              <w:right w:val="single" w:color="auto" w:sz="4" w:space="0"/>
            </w:tcBorders>
            <w:noWrap w:val="0"/>
            <w:vAlign w:val="center"/>
          </w:tcPr>
          <w:p w14:paraId="4A9E9FA2">
            <w:pPr>
              <w:adjustRightInd w:val="0"/>
              <w:snapToGrid w:val="0"/>
              <w:jc w:val="center"/>
              <w:rPr>
                <w:rFonts w:ascii="宋体" w:hAnsi="宋体"/>
                <w:szCs w:val="21"/>
                <w:highlight w:val="none"/>
              </w:rPr>
            </w:pPr>
            <w:r>
              <w:rPr>
                <w:rFonts w:ascii="宋体" w:hAnsi="宋体"/>
                <w:szCs w:val="21"/>
                <w:highlight w:val="none"/>
              </w:rPr>
              <w:t>技术成果经济补偿</w:t>
            </w:r>
          </w:p>
        </w:tc>
        <w:tc>
          <w:tcPr>
            <w:tcW w:w="2746" w:type="pct"/>
            <w:gridSpan w:val="2"/>
            <w:tcBorders>
              <w:top w:val="single" w:color="auto" w:sz="4" w:space="0"/>
              <w:left w:val="single" w:color="auto" w:sz="4" w:space="0"/>
              <w:bottom w:val="single" w:color="auto" w:sz="4" w:space="0"/>
              <w:right w:val="single" w:color="auto" w:sz="4" w:space="0"/>
            </w:tcBorders>
            <w:noWrap w:val="0"/>
            <w:vAlign w:val="center"/>
          </w:tcPr>
          <w:p w14:paraId="2DB83CC4">
            <w:pPr>
              <w:adjustRightInd w:val="0"/>
              <w:snapToGrid w:val="0"/>
              <w:rPr>
                <w:rFonts w:ascii="宋体" w:hAnsi="宋体"/>
                <w:b/>
                <w:spacing w:val="-2"/>
                <w:szCs w:val="21"/>
                <w:highlight w:val="none"/>
              </w:rPr>
            </w:pPr>
            <w:r>
              <w:rPr>
                <w:rFonts w:ascii="宋体" w:hAnsi="宋体"/>
                <w:szCs w:val="21"/>
                <w:highlight w:val="none"/>
              </w:rPr>
              <w:fldChar w:fldCharType="begin"/>
            </w:r>
            <w:r>
              <w:rPr>
                <w:rFonts w:ascii="宋体" w:hAnsi="宋体"/>
                <w:szCs w:val="21"/>
                <w:highlight w:val="none"/>
              </w:rPr>
              <w:instrText xml:space="preserve"> </w:instrText>
            </w:r>
            <w:r>
              <w:rPr>
                <w:rFonts w:hint="eastAsia" w:ascii="宋体" w:hAnsi="宋体"/>
                <w:szCs w:val="21"/>
                <w:highlight w:val="none"/>
              </w:rPr>
              <w:instrText xml:space="preserve">eq \o\ac(□,</w:instrText>
            </w:r>
            <w:r>
              <w:rPr>
                <w:rFonts w:hint="eastAsia" w:ascii="宋体" w:hAnsi="宋体"/>
                <w:position w:val="1"/>
                <w:szCs w:val="21"/>
                <w:highlight w:val="none"/>
              </w:rPr>
              <w:instrText xml:space="preserve">√</w:instrText>
            </w:r>
            <w:r>
              <w:rPr>
                <w:rFonts w:hint="eastAsia" w:ascii="宋体" w:hAnsi="宋体"/>
                <w:szCs w:val="21"/>
                <w:highlight w:val="none"/>
              </w:rPr>
              <w:instrText xml:space="preserve">)</w:instrText>
            </w:r>
            <w:r>
              <w:rPr>
                <w:rFonts w:ascii="宋体" w:hAnsi="宋体"/>
                <w:szCs w:val="21"/>
                <w:highlight w:val="none"/>
              </w:rPr>
              <w:fldChar w:fldCharType="end"/>
            </w:r>
            <w:r>
              <w:rPr>
                <w:rFonts w:ascii="宋体" w:hAnsi="宋体"/>
                <w:spacing w:val="-2"/>
                <w:szCs w:val="21"/>
                <w:highlight w:val="none"/>
              </w:rPr>
              <w:t>不补偿</w:t>
            </w:r>
          </w:p>
          <w:p w14:paraId="6B4E21C4">
            <w:pPr>
              <w:adjustRightInd w:val="0"/>
              <w:snapToGrid w:val="0"/>
              <w:rPr>
                <w:rFonts w:ascii="宋体" w:hAnsi="宋体"/>
                <w:szCs w:val="21"/>
                <w:highlight w:val="none"/>
              </w:rPr>
            </w:pPr>
            <w:r>
              <w:rPr>
                <w:rFonts w:hint="eastAsia" w:ascii="宋体" w:hAnsi="宋体" w:cs="宋体"/>
                <w:szCs w:val="21"/>
                <w:highlight w:val="none"/>
              </w:rPr>
              <w:fldChar w:fldCharType="begin"/>
            </w:r>
            <w:r>
              <w:rPr>
                <w:rFonts w:hint="eastAsia" w:ascii="宋体" w:hAnsi="宋体" w:cs="宋体"/>
                <w:szCs w:val="21"/>
                <w:highlight w:val="none"/>
              </w:rPr>
              <w:instrText xml:space="preserve"> eq \o\ac(□,×)</w:instrText>
            </w:r>
            <w:r>
              <w:rPr>
                <w:rFonts w:hint="eastAsia" w:ascii="宋体" w:hAnsi="宋体" w:cs="宋体"/>
                <w:szCs w:val="21"/>
                <w:highlight w:val="none"/>
              </w:rPr>
              <w:fldChar w:fldCharType="end"/>
            </w:r>
            <w:r>
              <w:rPr>
                <w:rFonts w:ascii="宋体" w:hAnsi="宋体"/>
                <w:spacing w:val="-2"/>
                <w:szCs w:val="21"/>
                <w:highlight w:val="none"/>
              </w:rPr>
              <w:t>补偿，补偿标准：</w:t>
            </w:r>
          </w:p>
        </w:tc>
      </w:tr>
      <w:tr w14:paraId="6200B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tcBorders>
              <w:top w:val="single" w:color="auto" w:sz="4" w:space="0"/>
              <w:left w:val="single" w:color="auto" w:sz="4" w:space="0"/>
              <w:bottom w:val="single" w:color="auto" w:sz="4" w:space="0"/>
              <w:right w:val="single" w:color="auto" w:sz="4" w:space="0"/>
            </w:tcBorders>
            <w:noWrap w:val="0"/>
            <w:vAlign w:val="center"/>
          </w:tcPr>
          <w:p w14:paraId="0A790C7E">
            <w:pPr>
              <w:pStyle w:val="154"/>
              <w:kinsoku w:val="0"/>
              <w:overflowPunct w:val="0"/>
              <w:snapToGrid w:val="0"/>
              <w:jc w:val="center"/>
              <w:rPr>
                <w:rFonts w:ascii="宋体" w:hAnsi="宋体"/>
                <w:sz w:val="21"/>
                <w:szCs w:val="21"/>
                <w:highlight w:val="none"/>
              </w:rPr>
            </w:pPr>
            <w:r>
              <w:rPr>
                <w:rFonts w:ascii="宋体" w:hAnsi="宋体"/>
                <w:spacing w:val="-1"/>
                <w:sz w:val="21"/>
                <w:szCs w:val="21"/>
                <w:highlight w:val="none"/>
              </w:rPr>
              <w:t>7.8.1</w:t>
            </w:r>
          </w:p>
        </w:tc>
        <w:tc>
          <w:tcPr>
            <w:tcW w:w="1666" w:type="pct"/>
            <w:tcBorders>
              <w:top w:val="single" w:color="auto" w:sz="4" w:space="0"/>
              <w:left w:val="single" w:color="auto" w:sz="4" w:space="0"/>
              <w:bottom w:val="single" w:color="auto" w:sz="4" w:space="0"/>
              <w:right w:val="single" w:color="auto" w:sz="4" w:space="0"/>
            </w:tcBorders>
            <w:noWrap w:val="0"/>
            <w:vAlign w:val="center"/>
          </w:tcPr>
          <w:p w14:paraId="71F12CC0">
            <w:pPr>
              <w:pStyle w:val="154"/>
              <w:kinsoku w:val="0"/>
              <w:overflowPunct w:val="0"/>
              <w:snapToGrid w:val="0"/>
              <w:jc w:val="center"/>
              <w:rPr>
                <w:rFonts w:ascii="宋体" w:hAnsi="宋体"/>
                <w:sz w:val="21"/>
                <w:szCs w:val="21"/>
                <w:highlight w:val="none"/>
              </w:rPr>
            </w:pPr>
            <w:r>
              <w:rPr>
                <w:rFonts w:ascii="宋体" w:hAnsi="宋体"/>
                <w:spacing w:val="-1"/>
                <w:sz w:val="21"/>
                <w:szCs w:val="21"/>
                <w:highlight w:val="none"/>
              </w:rPr>
              <w:t>履约保证金</w:t>
            </w:r>
          </w:p>
        </w:tc>
        <w:tc>
          <w:tcPr>
            <w:tcW w:w="2746" w:type="pct"/>
            <w:gridSpan w:val="2"/>
            <w:tcBorders>
              <w:top w:val="single" w:color="auto" w:sz="4" w:space="0"/>
              <w:left w:val="single" w:color="auto" w:sz="4" w:space="0"/>
              <w:bottom w:val="single" w:color="auto" w:sz="4" w:space="0"/>
              <w:right w:val="single" w:color="auto" w:sz="4" w:space="0"/>
            </w:tcBorders>
            <w:noWrap w:val="0"/>
            <w:vAlign w:val="center"/>
          </w:tcPr>
          <w:p w14:paraId="4452B035">
            <w:pPr>
              <w:pStyle w:val="154"/>
              <w:kinsoku w:val="0"/>
              <w:overflowPunct w:val="0"/>
              <w:snapToGrid w:val="0"/>
              <w:rPr>
                <w:rFonts w:ascii="宋体" w:hAnsi="宋体"/>
                <w:sz w:val="21"/>
                <w:szCs w:val="21"/>
                <w:highlight w:val="none"/>
              </w:rPr>
            </w:pPr>
            <w:r>
              <w:rPr>
                <w:rFonts w:ascii="宋体" w:hAnsi="宋体"/>
                <w:sz w:val="21"/>
                <w:szCs w:val="21"/>
                <w:highlight w:val="none"/>
              </w:rPr>
              <w:t>是否要求中标人提交履约保证金：</w:t>
            </w:r>
          </w:p>
          <w:p w14:paraId="6D63388A">
            <w:pPr>
              <w:pStyle w:val="154"/>
              <w:kinsoku w:val="0"/>
              <w:overflowPunct w:val="0"/>
              <w:snapToGrid w:val="0"/>
              <w:rPr>
                <w:rFonts w:ascii="宋体" w:hAnsi="宋体"/>
                <w:sz w:val="21"/>
                <w:szCs w:val="21"/>
                <w:highlight w:val="none"/>
              </w:rPr>
            </w:pPr>
            <w:r>
              <w:rPr>
                <w:rFonts w:ascii="宋体" w:hAnsi="宋体"/>
                <w:sz w:val="21"/>
                <w:szCs w:val="21"/>
                <w:highlight w:val="none"/>
              </w:rPr>
              <w:fldChar w:fldCharType="begin"/>
            </w:r>
            <w:r>
              <w:rPr>
                <w:rFonts w:ascii="宋体" w:hAnsi="宋体"/>
                <w:sz w:val="21"/>
                <w:szCs w:val="21"/>
                <w:highlight w:val="none"/>
              </w:rPr>
              <w:instrText xml:space="preserve"> </w:instrText>
            </w:r>
            <w:r>
              <w:rPr>
                <w:rFonts w:hint="eastAsia" w:ascii="宋体" w:hAnsi="宋体"/>
                <w:sz w:val="21"/>
                <w:szCs w:val="21"/>
                <w:highlight w:val="none"/>
              </w:rPr>
              <w:instrText xml:space="preserve">eq \o\ac(□,</w:instrText>
            </w:r>
            <w:r>
              <w:rPr>
                <w:rFonts w:hint="eastAsia" w:ascii="宋体" w:hAnsi="宋体"/>
                <w:position w:val="1"/>
                <w:sz w:val="21"/>
                <w:szCs w:val="21"/>
                <w:highlight w:val="none"/>
              </w:rPr>
              <w:instrText xml:space="preserve">√</w:instrText>
            </w:r>
            <w:r>
              <w:rPr>
                <w:rFonts w:hint="eastAsia" w:ascii="宋体" w:hAnsi="宋体"/>
                <w:sz w:val="21"/>
                <w:szCs w:val="21"/>
                <w:highlight w:val="none"/>
              </w:rPr>
              <w:instrText xml:space="preserve">)</w:instrText>
            </w:r>
            <w:r>
              <w:rPr>
                <w:rFonts w:ascii="宋体" w:hAnsi="宋体"/>
                <w:sz w:val="21"/>
                <w:szCs w:val="21"/>
                <w:highlight w:val="none"/>
              </w:rPr>
              <w:fldChar w:fldCharType="end"/>
            </w:r>
            <w:r>
              <w:rPr>
                <w:rFonts w:ascii="宋体" w:hAnsi="宋体"/>
                <w:sz w:val="21"/>
                <w:szCs w:val="21"/>
                <w:highlight w:val="none"/>
              </w:rPr>
              <w:t>要求，</w:t>
            </w:r>
            <w:bookmarkStart w:id="61" w:name="OLE_LINK33"/>
            <w:r>
              <w:rPr>
                <w:rFonts w:ascii="宋体" w:hAnsi="宋体"/>
                <w:b/>
                <w:bCs/>
                <w:sz w:val="21"/>
                <w:szCs w:val="21"/>
                <w:highlight w:val="none"/>
              </w:rPr>
              <w:t>履约保证金的形式：</w:t>
            </w:r>
            <w:r>
              <w:rPr>
                <w:rFonts w:hint="eastAsia" w:ascii="宋体" w:hAnsi="宋体"/>
                <w:b/>
                <w:bCs/>
                <w:sz w:val="21"/>
                <w:szCs w:val="21"/>
                <w:highlight w:val="none"/>
                <w:u w:val="single"/>
              </w:rPr>
              <w:t>不限</w:t>
            </w:r>
          </w:p>
          <w:p w14:paraId="50CB0FDA">
            <w:pPr>
              <w:pStyle w:val="154"/>
              <w:kinsoku w:val="0"/>
              <w:overflowPunct w:val="0"/>
              <w:snapToGrid w:val="0"/>
              <w:rPr>
                <w:rFonts w:hint="eastAsia" w:ascii="宋体" w:hAnsi="宋体"/>
                <w:b/>
                <w:sz w:val="21"/>
                <w:szCs w:val="21"/>
                <w:highlight w:val="none"/>
              </w:rPr>
            </w:pPr>
            <w:r>
              <w:rPr>
                <w:rFonts w:hint="eastAsia" w:ascii="宋体" w:hAnsi="宋体"/>
                <w:b/>
                <w:sz w:val="21"/>
                <w:szCs w:val="21"/>
                <w:highlight w:val="none"/>
              </w:rPr>
              <w:t>履约保证金的金额：人民币</w:t>
            </w:r>
            <w:r>
              <w:rPr>
                <w:rFonts w:hint="eastAsia" w:ascii="宋体" w:hAnsi="宋体"/>
                <w:b/>
                <w:sz w:val="21"/>
                <w:szCs w:val="21"/>
                <w:highlight w:val="none"/>
                <w:lang w:val="en-US" w:eastAsia="zh-CN"/>
              </w:rPr>
              <w:t>壹</w:t>
            </w:r>
            <w:r>
              <w:rPr>
                <w:rFonts w:hint="eastAsia" w:ascii="宋体" w:hAnsi="宋体"/>
                <w:b/>
                <w:sz w:val="21"/>
                <w:szCs w:val="21"/>
                <w:highlight w:val="none"/>
              </w:rPr>
              <w:t>万元（¥</w:t>
            </w:r>
            <w:r>
              <w:rPr>
                <w:rFonts w:hint="eastAsia" w:ascii="宋体" w:hAnsi="宋体"/>
                <w:b/>
                <w:sz w:val="21"/>
                <w:szCs w:val="21"/>
                <w:highlight w:val="none"/>
                <w:lang w:val="en-US" w:eastAsia="zh-CN"/>
              </w:rPr>
              <w:t>1</w:t>
            </w:r>
            <w:r>
              <w:rPr>
                <w:rFonts w:hint="eastAsia" w:ascii="宋体" w:hAnsi="宋体"/>
                <w:b/>
                <w:sz w:val="21"/>
                <w:szCs w:val="21"/>
                <w:highlight w:val="none"/>
              </w:rPr>
              <w:t>0000）（在最近一次江苏省公路水</w:t>
            </w:r>
            <w:r>
              <w:rPr>
                <w:rFonts w:hint="eastAsia" w:ascii="宋体" w:hAnsi="宋体"/>
                <w:b/>
                <w:sz w:val="21"/>
                <w:szCs w:val="21"/>
                <w:highlight w:val="none"/>
                <w:lang w:val="en-US" w:eastAsia="zh-CN"/>
              </w:rPr>
              <w:t>运</w:t>
            </w:r>
            <w:r>
              <w:rPr>
                <w:rFonts w:hint="eastAsia" w:ascii="宋体" w:hAnsi="宋体"/>
                <w:b/>
                <w:sz w:val="21"/>
                <w:szCs w:val="21"/>
                <w:highlight w:val="none"/>
              </w:rPr>
              <w:t>建设市场从业单位信用评定结果中的信用等级为AA级的投标人，可以减少20%的履约保证金；被列入最近一次江苏省公路水运建设市场守信激励主体对象名单（红名单）的投标人，可以减免50%的履约保证金）</w:t>
            </w:r>
          </w:p>
          <w:p w14:paraId="1670EE40">
            <w:pPr>
              <w:pStyle w:val="154"/>
              <w:kinsoku w:val="0"/>
              <w:overflowPunct w:val="0"/>
              <w:snapToGrid w:val="0"/>
              <w:rPr>
                <w:rFonts w:hint="eastAsia" w:ascii="宋体" w:hAnsi="宋体"/>
                <w:b/>
                <w:sz w:val="21"/>
                <w:szCs w:val="21"/>
                <w:highlight w:val="none"/>
              </w:rPr>
            </w:pPr>
            <w:r>
              <w:rPr>
                <w:rFonts w:hint="eastAsia" w:ascii="宋体" w:hAnsi="宋体"/>
                <w:b/>
                <w:sz w:val="21"/>
                <w:szCs w:val="21"/>
                <w:highlight w:val="none"/>
              </w:rPr>
              <w:t>采用银行保函时，出具保函的银行级别：</w:t>
            </w:r>
            <w:r>
              <w:rPr>
                <w:rFonts w:hint="eastAsia" w:ascii="宋体" w:hAnsi="宋体"/>
                <w:b/>
                <w:sz w:val="21"/>
                <w:szCs w:val="21"/>
                <w:highlight w:val="none"/>
                <w:u w:val="single"/>
                <w:lang w:val="en-US" w:eastAsia="zh-CN"/>
              </w:rPr>
              <w:t>/</w:t>
            </w:r>
            <w:r>
              <w:rPr>
                <w:rFonts w:hint="eastAsia" w:ascii="宋体" w:hAnsi="宋体"/>
                <w:b/>
                <w:sz w:val="21"/>
                <w:szCs w:val="21"/>
                <w:highlight w:val="none"/>
              </w:rPr>
              <w:t>。</w:t>
            </w:r>
            <w:bookmarkEnd w:id="61"/>
          </w:p>
          <w:p w14:paraId="3B5C01C0">
            <w:pPr>
              <w:pStyle w:val="154"/>
              <w:kinsoku w:val="0"/>
              <w:overflowPunct w:val="0"/>
              <w:snapToGrid w:val="0"/>
              <w:rPr>
                <w:rFonts w:ascii="宋体" w:hAnsi="宋体"/>
                <w:b/>
                <w:sz w:val="21"/>
                <w:szCs w:val="21"/>
                <w:highlight w:val="none"/>
              </w:rPr>
            </w:pPr>
            <w:r>
              <w:rPr>
                <w:rFonts w:hint="eastAsia" w:ascii="宋体" w:hAnsi="宋体"/>
                <w:b/>
                <w:sz w:val="21"/>
                <w:szCs w:val="21"/>
                <w:highlight w:val="none"/>
              </w:rPr>
              <w:t>履约保证金提交至招标人开户银行的账号。</w:t>
            </w:r>
          </w:p>
          <w:p w14:paraId="4567891A">
            <w:pPr>
              <w:pStyle w:val="154"/>
              <w:kinsoku w:val="0"/>
              <w:overflowPunct w:val="0"/>
              <w:snapToGrid w:val="0"/>
              <w:rPr>
                <w:rFonts w:ascii="宋体" w:hAnsi="宋体"/>
                <w:sz w:val="21"/>
                <w:szCs w:val="21"/>
                <w:highlight w:val="none"/>
              </w:rPr>
            </w:pPr>
            <w:r>
              <w:rPr>
                <w:rFonts w:hint="eastAsia" w:ascii="宋体" w:hAnsi="宋体" w:cs="宋体"/>
                <w:sz w:val="21"/>
                <w:szCs w:val="21"/>
                <w:highlight w:val="none"/>
              </w:rPr>
              <w:fldChar w:fldCharType="begin"/>
            </w:r>
            <w:r>
              <w:rPr>
                <w:rFonts w:hint="eastAsia" w:ascii="宋体" w:hAnsi="宋体" w:cs="宋体"/>
                <w:sz w:val="21"/>
                <w:szCs w:val="21"/>
                <w:highlight w:val="none"/>
              </w:rPr>
              <w:instrText xml:space="preserve"> eq \o\ac(□,×)</w:instrText>
            </w:r>
            <w:r>
              <w:rPr>
                <w:rFonts w:hint="eastAsia" w:ascii="宋体" w:hAnsi="宋体" w:cs="宋体"/>
                <w:sz w:val="21"/>
                <w:szCs w:val="21"/>
                <w:highlight w:val="none"/>
              </w:rPr>
              <w:fldChar w:fldCharType="end"/>
            </w:r>
            <w:r>
              <w:rPr>
                <w:rFonts w:ascii="宋体" w:hAnsi="宋体"/>
                <w:sz w:val="21"/>
                <w:szCs w:val="21"/>
                <w:highlight w:val="none"/>
              </w:rPr>
              <w:t>不要求</w:t>
            </w:r>
          </w:p>
        </w:tc>
      </w:tr>
      <w:tr w14:paraId="17CE6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tcBorders>
              <w:top w:val="single" w:color="auto" w:sz="4" w:space="0"/>
              <w:left w:val="single" w:color="auto" w:sz="4" w:space="0"/>
              <w:bottom w:val="single" w:color="auto" w:sz="4" w:space="0"/>
              <w:right w:val="single" w:color="auto" w:sz="4" w:space="0"/>
            </w:tcBorders>
            <w:noWrap w:val="0"/>
            <w:vAlign w:val="center"/>
          </w:tcPr>
          <w:p w14:paraId="7E8474EF">
            <w:pPr>
              <w:adjustRightInd w:val="0"/>
              <w:snapToGrid w:val="0"/>
              <w:jc w:val="center"/>
              <w:rPr>
                <w:rFonts w:ascii="宋体" w:hAnsi="宋体"/>
                <w:szCs w:val="21"/>
                <w:highlight w:val="none"/>
              </w:rPr>
            </w:pPr>
            <w:r>
              <w:rPr>
                <w:rFonts w:ascii="宋体" w:hAnsi="宋体"/>
                <w:szCs w:val="21"/>
                <w:highlight w:val="none"/>
              </w:rPr>
              <w:t>8.5.1</w:t>
            </w:r>
          </w:p>
        </w:tc>
        <w:tc>
          <w:tcPr>
            <w:tcW w:w="1666" w:type="pct"/>
            <w:tcBorders>
              <w:top w:val="single" w:color="auto" w:sz="4" w:space="0"/>
              <w:left w:val="single" w:color="auto" w:sz="4" w:space="0"/>
              <w:bottom w:val="single" w:color="auto" w:sz="4" w:space="0"/>
              <w:right w:val="single" w:color="auto" w:sz="4" w:space="0"/>
            </w:tcBorders>
            <w:noWrap w:val="0"/>
            <w:vAlign w:val="center"/>
          </w:tcPr>
          <w:p w14:paraId="529BAF34">
            <w:pPr>
              <w:adjustRightInd w:val="0"/>
              <w:snapToGrid w:val="0"/>
              <w:jc w:val="center"/>
              <w:rPr>
                <w:rFonts w:ascii="宋体" w:hAnsi="宋体"/>
                <w:szCs w:val="21"/>
                <w:highlight w:val="none"/>
              </w:rPr>
            </w:pPr>
            <w:r>
              <w:rPr>
                <w:rFonts w:ascii="宋体" w:hAnsi="宋体"/>
                <w:szCs w:val="21"/>
                <w:highlight w:val="none"/>
              </w:rPr>
              <w:t>监督部门</w:t>
            </w:r>
          </w:p>
        </w:tc>
        <w:tc>
          <w:tcPr>
            <w:tcW w:w="2746" w:type="pct"/>
            <w:gridSpan w:val="2"/>
            <w:tcBorders>
              <w:top w:val="single" w:color="auto" w:sz="4" w:space="0"/>
              <w:left w:val="single" w:color="auto" w:sz="4" w:space="0"/>
              <w:bottom w:val="single" w:color="auto" w:sz="4" w:space="0"/>
              <w:right w:val="single" w:color="auto" w:sz="4" w:space="0"/>
            </w:tcBorders>
            <w:noWrap w:val="0"/>
            <w:vAlign w:val="center"/>
          </w:tcPr>
          <w:p w14:paraId="056B09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宋体" w:hAnsi="宋体"/>
                <w:szCs w:val="21"/>
                <w:highlight w:val="none"/>
              </w:rPr>
            </w:pPr>
            <w:r>
              <w:rPr>
                <w:rFonts w:hint="eastAsia" w:ascii="宋体" w:hAnsi="宋体"/>
                <w:szCs w:val="21"/>
                <w:highlight w:val="none"/>
              </w:rPr>
              <w:t>纪检监督：南通市公路事业发展中心纪检监察室</w:t>
            </w:r>
          </w:p>
          <w:p w14:paraId="3ADD1D6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宋体" w:hAnsi="宋体"/>
                <w:szCs w:val="21"/>
                <w:highlight w:val="none"/>
              </w:rPr>
            </w:pPr>
            <w:r>
              <w:rPr>
                <w:rFonts w:hint="eastAsia" w:ascii="宋体" w:hAnsi="宋体"/>
                <w:szCs w:val="21"/>
                <w:highlight w:val="none"/>
              </w:rPr>
              <w:t>地    址：</w:t>
            </w:r>
            <w:r>
              <w:rPr>
                <w:rFonts w:hint="eastAsia" w:ascii="宋体" w:hAnsi="宋体" w:cs="宋体"/>
                <w:szCs w:val="21"/>
                <w:highlight w:val="none"/>
              </w:rPr>
              <w:t>南通市跃龙路</w:t>
            </w:r>
            <w:r>
              <w:rPr>
                <w:rFonts w:ascii="宋体" w:hAnsi="宋体"/>
                <w:szCs w:val="21"/>
                <w:highlight w:val="none"/>
              </w:rPr>
              <w:t>4</w:t>
            </w:r>
            <w:r>
              <w:rPr>
                <w:rFonts w:hint="eastAsia" w:ascii="宋体" w:hAnsi="宋体" w:cs="宋体"/>
                <w:szCs w:val="21"/>
                <w:highlight w:val="none"/>
              </w:rPr>
              <w:t>号</w:t>
            </w:r>
          </w:p>
          <w:p w14:paraId="5387E6C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宋体" w:hAnsi="宋体"/>
                <w:szCs w:val="21"/>
                <w:highlight w:val="none"/>
              </w:rPr>
            </w:pPr>
            <w:r>
              <w:rPr>
                <w:rFonts w:hint="eastAsia" w:ascii="宋体" w:hAnsi="宋体"/>
                <w:szCs w:val="21"/>
                <w:highlight w:val="none"/>
              </w:rPr>
              <w:t>电    话：0513-85535026</w:t>
            </w:r>
          </w:p>
          <w:p w14:paraId="613656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宋体" w:hAnsi="宋体"/>
                <w:szCs w:val="21"/>
                <w:highlight w:val="none"/>
              </w:rPr>
            </w:pPr>
            <w:r>
              <w:rPr>
                <w:rFonts w:hint="eastAsia" w:ascii="宋体" w:hAnsi="宋体"/>
                <w:szCs w:val="21"/>
                <w:highlight w:val="none"/>
              </w:rPr>
              <w:t>传    真：</w:t>
            </w:r>
            <w:r>
              <w:rPr>
                <w:rFonts w:ascii="宋体" w:hAnsi="宋体"/>
                <w:szCs w:val="21"/>
                <w:highlight w:val="none"/>
              </w:rPr>
              <w:t>0513-85529250</w:t>
            </w:r>
          </w:p>
          <w:p w14:paraId="3A068A0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ascii="宋体" w:hAnsi="宋体"/>
                <w:szCs w:val="21"/>
                <w:highlight w:val="none"/>
              </w:rPr>
            </w:pPr>
            <w:r>
              <w:rPr>
                <w:rFonts w:hint="eastAsia" w:ascii="宋体" w:hAnsi="宋体"/>
                <w:szCs w:val="21"/>
                <w:highlight w:val="none"/>
              </w:rPr>
              <w:t>邮政编码：226001</w:t>
            </w:r>
          </w:p>
        </w:tc>
      </w:tr>
      <w:tr w14:paraId="4C38B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7" w:type="pct"/>
            <w:tcBorders>
              <w:top w:val="single" w:color="auto" w:sz="4" w:space="0"/>
              <w:left w:val="single" w:color="auto" w:sz="4" w:space="0"/>
              <w:bottom w:val="single" w:color="auto" w:sz="4" w:space="0"/>
              <w:right w:val="single" w:color="auto" w:sz="4" w:space="0"/>
            </w:tcBorders>
            <w:noWrap w:val="0"/>
            <w:vAlign w:val="center"/>
          </w:tcPr>
          <w:p w14:paraId="34DDE265">
            <w:pPr>
              <w:pStyle w:val="154"/>
              <w:kinsoku w:val="0"/>
              <w:overflowPunct w:val="0"/>
              <w:snapToGrid w:val="0"/>
              <w:jc w:val="center"/>
              <w:rPr>
                <w:rFonts w:ascii="宋体" w:hAnsi="宋体"/>
                <w:sz w:val="21"/>
                <w:szCs w:val="21"/>
                <w:highlight w:val="none"/>
              </w:rPr>
            </w:pPr>
            <w:r>
              <w:rPr>
                <w:rFonts w:ascii="宋体" w:hAnsi="宋体"/>
                <w:sz w:val="21"/>
                <w:szCs w:val="21"/>
                <w:highlight w:val="none"/>
              </w:rPr>
              <w:t>9</w:t>
            </w:r>
          </w:p>
        </w:tc>
        <w:tc>
          <w:tcPr>
            <w:tcW w:w="1666" w:type="pct"/>
            <w:tcBorders>
              <w:top w:val="single" w:color="auto" w:sz="4" w:space="0"/>
              <w:left w:val="single" w:color="auto" w:sz="4" w:space="0"/>
              <w:bottom w:val="single" w:color="auto" w:sz="4" w:space="0"/>
              <w:right w:val="single" w:color="auto" w:sz="4" w:space="0"/>
            </w:tcBorders>
            <w:noWrap w:val="0"/>
            <w:vAlign w:val="center"/>
          </w:tcPr>
          <w:p w14:paraId="2DB842AC">
            <w:pPr>
              <w:pStyle w:val="154"/>
              <w:kinsoku w:val="0"/>
              <w:overflowPunct w:val="0"/>
              <w:snapToGrid w:val="0"/>
              <w:jc w:val="center"/>
              <w:rPr>
                <w:rFonts w:ascii="宋体" w:hAnsi="宋体"/>
                <w:sz w:val="21"/>
                <w:szCs w:val="21"/>
                <w:highlight w:val="none"/>
              </w:rPr>
            </w:pPr>
            <w:r>
              <w:rPr>
                <w:rFonts w:ascii="宋体" w:hAnsi="宋体"/>
                <w:spacing w:val="-2"/>
                <w:sz w:val="21"/>
                <w:szCs w:val="21"/>
                <w:highlight w:val="none"/>
              </w:rPr>
              <w:t>是否采用电子招标投标</w:t>
            </w:r>
          </w:p>
        </w:tc>
        <w:tc>
          <w:tcPr>
            <w:tcW w:w="2746" w:type="pct"/>
            <w:gridSpan w:val="2"/>
            <w:tcBorders>
              <w:top w:val="single" w:color="auto" w:sz="4" w:space="0"/>
              <w:left w:val="single" w:color="auto" w:sz="4" w:space="0"/>
              <w:bottom w:val="single" w:color="auto" w:sz="4" w:space="0"/>
              <w:right w:val="single" w:color="auto" w:sz="4" w:space="0"/>
            </w:tcBorders>
            <w:noWrap w:val="0"/>
            <w:vAlign w:val="center"/>
          </w:tcPr>
          <w:p w14:paraId="51AED29E">
            <w:pPr>
              <w:adjustRightInd w:val="0"/>
              <w:snapToGrid w:val="0"/>
              <w:rPr>
                <w:rFonts w:ascii="宋体" w:hAnsi="宋体"/>
                <w:spacing w:val="-1"/>
                <w:szCs w:val="21"/>
                <w:highlight w:val="none"/>
              </w:rPr>
            </w:pPr>
            <w:r>
              <w:rPr>
                <w:rFonts w:ascii="宋体" w:hAnsi="宋体"/>
                <w:szCs w:val="21"/>
                <w:highlight w:val="none"/>
              </w:rPr>
              <w:fldChar w:fldCharType="begin"/>
            </w:r>
            <w:r>
              <w:rPr>
                <w:rFonts w:ascii="宋体" w:hAnsi="宋体"/>
                <w:szCs w:val="21"/>
                <w:highlight w:val="none"/>
              </w:rPr>
              <w:instrText xml:space="preserve"> </w:instrText>
            </w:r>
            <w:r>
              <w:rPr>
                <w:rFonts w:hint="eastAsia" w:ascii="宋体" w:hAnsi="宋体"/>
                <w:szCs w:val="21"/>
                <w:highlight w:val="none"/>
              </w:rPr>
              <w:instrText xml:space="preserve">eq \o\ac(□,</w:instrText>
            </w:r>
            <w:r>
              <w:rPr>
                <w:rFonts w:hint="eastAsia" w:ascii="宋体" w:hAnsi="宋体"/>
                <w:position w:val="1"/>
                <w:szCs w:val="21"/>
                <w:highlight w:val="none"/>
              </w:rPr>
              <w:instrText xml:space="preserve">√</w:instrText>
            </w:r>
            <w:r>
              <w:rPr>
                <w:rFonts w:hint="eastAsia" w:ascii="宋体" w:hAnsi="宋体"/>
                <w:szCs w:val="21"/>
                <w:highlight w:val="none"/>
              </w:rPr>
              <w:instrText xml:space="preserve">)</w:instrText>
            </w:r>
            <w:r>
              <w:rPr>
                <w:rFonts w:ascii="宋体" w:hAnsi="宋体"/>
                <w:szCs w:val="21"/>
                <w:highlight w:val="none"/>
              </w:rPr>
              <w:fldChar w:fldCharType="end"/>
            </w:r>
            <w:r>
              <w:rPr>
                <w:rFonts w:ascii="宋体" w:hAnsi="宋体"/>
                <w:spacing w:val="-1"/>
                <w:szCs w:val="21"/>
                <w:highlight w:val="none"/>
              </w:rPr>
              <w:t>否</w:t>
            </w:r>
          </w:p>
          <w:p w14:paraId="789FA825">
            <w:pPr>
              <w:adjustRightInd w:val="0"/>
              <w:snapToGrid w:val="0"/>
              <w:rPr>
                <w:rFonts w:ascii="宋体" w:hAnsi="宋体"/>
                <w:szCs w:val="21"/>
                <w:highlight w:val="none"/>
              </w:rPr>
            </w:pPr>
            <w:r>
              <w:rPr>
                <w:rFonts w:hint="eastAsia" w:ascii="宋体" w:hAnsi="宋体" w:cs="宋体"/>
                <w:szCs w:val="21"/>
                <w:highlight w:val="none"/>
              </w:rPr>
              <w:fldChar w:fldCharType="begin"/>
            </w:r>
            <w:r>
              <w:rPr>
                <w:rFonts w:hint="eastAsia" w:ascii="宋体" w:hAnsi="宋体" w:cs="宋体"/>
                <w:szCs w:val="21"/>
                <w:highlight w:val="none"/>
              </w:rPr>
              <w:instrText xml:space="preserve"> eq \o\ac(□,×)</w:instrText>
            </w:r>
            <w:r>
              <w:rPr>
                <w:rFonts w:hint="eastAsia" w:ascii="宋体" w:hAnsi="宋体" w:cs="宋体"/>
                <w:szCs w:val="21"/>
                <w:highlight w:val="none"/>
              </w:rPr>
              <w:fldChar w:fldCharType="end"/>
            </w:r>
            <w:r>
              <w:rPr>
                <w:rFonts w:ascii="宋体" w:hAnsi="宋体"/>
                <w:spacing w:val="-1"/>
                <w:szCs w:val="21"/>
                <w:highlight w:val="none"/>
              </w:rPr>
              <w:t>是，具体要求：</w:t>
            </w:r>
          </w:p>
        </w:tc>
      </w:tr>
      <w:tr w14:paraId="377C2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404" w:hRule="atLeast"/>
          <w:jc w:val="center"/>
        </w:trPr>
        <w:tc>
          <w:tcPr>
            <w:tcW w:w="4994" w:type="pct"/>
            <w:gridSpan w:val="3"/>
            <w:tcBorders>
              <w:top w:val="single" w:color="auto" w:sz="4" w:space="0"/>
              <w:left w:val="single" w:color="auto" w:sz="4" w:space="0"/>
              <w:bottom w:val="single" w:color="auto" w:sz="4" w:space="0"/>
              <w:right w:val="single" w:color="auto" w:sz="4" w:space="0"/>
            </w:tcBorders>
            <w:noWrap w:val="0"/>
            <w:vAlign w:val="center"/>
          </w:tcPr>
          <w:p w14:paraId="08E0798A">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宋体" w:hAnsi="宋体"/>
                <w:spacing w:val="-2"/>
                <w:szCs w:val="21"/>
                <w:highlight w:val="none"/>
              </w:rPr>
            </w:pPr>
            <w:bookmarkStart w:id="62" w:name="_Toc127265859"/>
            <w:bookmarkStart w:id="63" w:name="_Toc343003039"/>
            <w:bookmarkStart w:id="64" w:name="_Toc118018572"/>
            <w:bookmarkStart w:id="65" w:name="_Toc204584774"/>
            <w:bookmarkStart w:id="66" w:name="_Toc145491882"/>
            <w:bookmarkStart w:id="67" w:name="_Toc127265353"/>
            <w:bookmarkStart w:id="68" w:name="_Toc127266005"/>
            <w:r>
              <w:rPr>
                <w:rFonts w:ascii="宋体" w:hAnsi="宋体"/>
                <w:spacing w:val="-2"/>
                <w:szCs w:val="21"/>
                <w:highlight w:val="none"/>
              </w:rPr>
              <w:t>需要补充的其他内容</w:t>
            </w:r>
          </w:p>
        </w:tc>
      </w:tr>
      <w:bookmarkEnd w:id="62"/>
      <w:bookmarkEnd w:id="63"/>
      <w:bookmarkEnd w:id="64"/>
      <w:bookmarkEnd w:id="65"/>
      <w:bookmarkEnd w:id="66"/>
      <w:bookmarkEnd w:id="67"/>
      <w:bookmarkEnd w:id="68"/>
      <w:tr w14:paraId="19DC6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642" w:hRule="atLeast"/>
          <w:jc w:val="center"/>
        </w:trPr>
        <w:tc>
          <w:tcPr>
            <w:tcW w:w="587" w:type="pct"/>
            <w:tcBorders>
              <w:top w:val="single" w:color="auto" w:sz="4" w:space="0"/>
              <w:left w:val="single" w:color="auto" w:sz="4" w:space="0"/>
              <w:bottom w:val="single" w:color="auto" w:sz="4" w:space="0"/>
              <w:right w:val="single" w:color="auto" w:sz="4" w:space="0"/>
            </w:tcBorders>
            <w:noWrap w:val="0"/>
            <w:vAlign w:val="center"/>
          </w:tcPr>
          <w:p w14:paraId="72D05E39">
            <w:pPr>
              <w:pStyle w:val="154"/>
              <w:kinsoku w:val="0"/>
              <w:overflowPunct w:val="0"/>
              <w:spacing w:before="115"/>
              <w:jc w:val="center"/>
              <w:rPr>
                <w:rFonts w:hint="default" w:ascii="宋体" w:hAnsi="宋体" w:eastAsia="宋体"/>
                <w:sz w:val="21"/>
                <w:szCs w:val="21"/>
                <w:highlight w:val="none"/>
                <w:lang w:val="en-US" w:eastAsia="zh-CN"/>
              </w:rPr>
            </w:pPr>
            <w:bookmarkStart w:id="69" w:name="_Hlk106809730"/>
            <w:bookmarkStart w:id="70" w:name="OLE_LINK43" w:colFirst="0" w:colLast="65"/>
            <w:bookmarkStart w:id="71" w:name="OLE_LINK44" w:colFirst="0" w:colLast="65"/>
            <w:r>
              <w:rPr>
                <w:rFonts w:hint="eastAsia" w:ascii="宋体" w:hAnsi="宋体" w:eastAsia="宋体"/>
                <w:sz w:val="21"/>
                <w:szCs w:val="21"/>
                <w:highlight w:val="none"/>
                <w:lang w:val="en-US" w:eastAsia="zh-CN"/>
              </w:rPr>
              <w:t>10.1</w:t>
            </w:r>
          </w:p>
        </w:tc>
        <w:tc>
          <w:tcPr>
            <w:tcW w:w="4407" w:type="pct"/>
            <w:gridSpan w:val="2"/>
            <w:tcBorders>
              <w:top w:val="single" w:color="auto" w:sz="4" w:space="0"/>
              <w:left w:val="single" w:color="auto" w:sz="4" w:space="0"/>
              <w:bottom w:val="single" w:color="auto" w:sz="4" w:space="0"/>
              <w:right w:val="single" w:color="auto" w:sz="4" w:space="0"/>
            </w:tcBorders>
            <w:noWrap w:val="0"/>
            <w:vAlign w:val="center"/>
          </w:tcPr>
          <w:p w14:paraId="136DF763">
            <w:pPr>
              <w:keepNext w:val="0"/>
              <w:keepLines w:val="0"/>
              <w:pageBreakBefore w:val="0"/>
              <w:widowControl/>
              <w:kinsoku/>
              <w:wordWrap/>
              <w:overflowPunct/>
              <w:topLinePunct w:val="0"/>
              <w:autoSpaceDE/>
              <w:autoSpaceDN/>
              <w:bidi w:val="0"/>
              <w:adjustRightInd w:val="0"/>
              <w:snapToGrid w:val="0"/>
              <w:ind w:left="0" w:leftChars="0" w:firstLine="0" w:firstLineChars="0"/>
              <w:jc w:val="left"/>
              <w:textAlignment w:val="auto"/>
              <w:rPr>
                <w:rFonts w:hint="eastAsia" w:ascii="宋体" w:hAnsi="宋体" w:eastAsia="宋体" w:cs="宋体"/>
                <w:b/>
                <w:szCs w:val="21"/>
                <w:highlight w:val="none"/>
                <w:u w:val="none"/>
                <w:lang w:val="en-US" w:eastAsia="zh-CN"/>
              </w:rPr>
            </w:pPr>
            <w:r>
              <w:rPr>
                <w:rFonts w:hint="eastAsia" w:ascii="宋体" w:hAnsi="宋体" w:eastAsia="宋体" w:cs="宋体"/>
                <w:b/>
                <w:szCs w:val="21"/>
                <w:highlight w:val="none"/>
                <w:u w:val="none"/>
                <w:lang w:val="en-US" w:eastAsia="zh-CN"/>
              </w:rPr>
              <w:t>特别说明：</w:t>
            </w:r>
          </w:p>
          <w:p w14:paraId="78AD7220">
            <w:pPr>
              <w:keepNext w:val="0"/>
              <w:keepLines w:val="0"/>
              <w:pageBreakBefore w:val="0"/>
              <w:widowControl/>
              <w:kinsoku/>
              <w:wordWrap/>
              <w:overflowPunct/>
              <w:topLinePunct w:val="0"/>
              <w:autoSpaceDE/>
              <w:autoSpaceDN/>
              <w:bidi w:val="0"/>
              <w:adjustRightInd w:val="0"/>
              <w:snapToGrid w:val="0"/>
              <w:ind w:left="0" w:leftChars="0" w:firstLine="0" w:firstLineChars="0"/>
              <w:jc w:val="left"/>
              <w:textAlignment w:val="auto"/>
              <w:rPr>
                <w:rFonts w:hint="eastAsia" w:ascii="宋体" w:hAnsi="宋体" w:eastAsia="宋体" w:cs="宋体"/>
                <w:b/>
                <w:szCs w:val="21"/>
                <w:highlight w:val="none"/>
                <w:u w:val="none"/>
                <w:lang w:val="en-US" w:eastAsia="zh-CN"/>
              </w:rPr>
            </w:pPr>
            <w:r>
              <w:rPr>
                <w:rFonts w:hint="eastAsia" w:ascii="宋体" w:hAnsi="宋体" w:eastAsia="宋体" w:cs="宋体"/>
                <w:b/>
                <w:szCs w:val="21"/>
                <w:highlight w:val="none"/>
                <w:u w:val="none"/>
                <w:lang w:val="en-US" w:eastAsia="zh-CN"/>
              </w:rPr>
              <w:t>投标人在本项目中的“江苏交通项目的信用档案等级及分数”</w:t>
            </w:r>
            <w:r>
              <w:rPr>
                <w:rFonts w:hint="eastAsia" w:ascii="宋体" w:hAnsi="宋体" w:cs="宋体"/>
                <w:b/>
                <w:szCs w:val="21"/>
                <w:highlight w:val="none"/>
                <w:u w:val="none"/>
                <w:lang w:val="en-US" w:eastAsia="zh-CN"/>
              </w:rPr>
              <w:t>及“</w:t>
            </w:r>
            <w:r>
              <w:rPr>
                <w:rFonts w:hint="eastAsia" w:ascii="宋体" w:hAnsi="宋体" w:eastAsia="宋体" w:cs="宋体"/>
                <w:b/>
                <w:bCs/>
                <w:color w:val="000000"/>
                <w:position w:val="0"/>
                <w:sz w:val="21"/>
                <w:szCs w:val="21"/>
                <w:highlight w:val="none"/>
              </w:rPr>
              <w:t>江苏省公路水运建设市场守信激励主体对象名单（红名单）</w:t>
            </w:r>
            <w:r>
              <w:rPr>
                <w:rFonts w:hint="eastAsia" w:ascii="宋体" w:hAnsi="宋体" w:cs="宋体"/>
                <w:b/>
                <w:szCs w:val="21"/>
                <w:highlight w:val="none"/>
                <w:u w:val="none"/>
                <w:lang w:val="en-US" w:eastAsia="zh-CN"/>
              </w:rPr>
              <w:t>”</w:t>
            </w:r>
            <w:r>
              <w:rPr>
                <w:rFonts w:hint="eastAsia" w:ascii="宋体" w:hAnsi="宋体" w:cs="宋体"/>
                <w:b/>
                <w:bCs/>
                <w:color w:val="000000"/>
                <w:position w:val="0"/>
                <w:sz w:val="21"/>
                <w:szCs w:val="21"/>
                <w:highlight w:val="none"/>
                <w:lang w:val="en-US" w:eastAsia="zh-CN"/>
              </w:rPr>
              <w:t>均</w:t>
            </w:r>
            <w:r>
              <w:rPr>
                <w:rFonts w:hint="eastAsia" w:ascii="宋体" w:hAnsi="宋体" w:eastAsia="宋体" w:cs="宋体"/>
                <w:b/>
                <w:szCs w:val="21"/>
                <w:highlight w:val="none"/>
                <w:u w:val="none"/>
                <w:lang w:val="en-US" w:eastAsia="zh-CN"/>
              </w:rPr>
              <w:t>以“服务类”进行评审。</w:t>
            </w:r>
          </w:p>
        </w:tc>
      </w:tr>
      <w:bookmarkEnd w:id="69"/>
      <w:bookmarkEnd w:id="70"/>
      <w:bookmarkEnd w:id="71"/>
      <w:tr w14:paraId="62243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404" w:hRule="atLeast"/>
          <w:jc w:val="center"/>
        </w:trPr>
        <w:tc>
          <w:tcPr>
            <w:tcW w:w="587" w:type="pct"/>
            <w:tcBorders>
              <w:top w:val="single" w:color="auto" w:sz="4" w:space="0"/>
              <w:left w:val="single" w:color="auto" w:sz="4" w:space="0"/>
              <w:bottom w:val="single" w:color="auto" w:sz="4" w:space="0"/>
              <w:right w:val="single" w:color="auto" w:sz="4" w:space="0"/>
            </w:tcBorders>
            <w:noWrap w:val="0"/>
            <w:vAlign w:val="center"/>
          </w:tcPr>
          <w:p w14:paraId="4D0F2F73">
            <w:pPr>
              <w:pStyle w:val="154"/>
              <w:kinsoku w:val="0"/>
              <w:overflowPunct w:val="0"/>
              <w:spacing w:before="115"/>
              <w:jc w:val="center"/>
              <w:rPr>
                <w:rFonts w:hint="eastAsia" w:ascii="宋体" w:hAnsi="宋体" w:eastAsia="宋体"/>
                <w:sz w:val="21"/>
                <w:szCs w:val="21"/>
                <w:highlight w:val="none"/>
                <w:lang w:eastAsia="zh-CN"/>
              </w:rPr>
            </w:pPr>
            <w:bookmarkStart w:id="72" w:name="_Hlk106809734"/>
            <w:bookmarkStart w:id="73" w:name="OLE_LINK45" w:colFirst="0" w:colLast="65"/>
            <w:bookmarkStart w:id="74" w:name="OLE_LINK46" w:colFirst="0" w:colLast="65"/>
            <w:r>
              <w:rPr>
                <w:rFonts w:hint="eastAsia" w:ascii="宋体" w:hAnsi="宋体" w:cs="宋体"/>
                <w:sz w:val="21"/>
                <w:szCs w:val="21"/>
                <w:highlight w:val="none"/>
              </w:rPr>
              <w:t>10.</w:t>
            </w:r>
            <w:r>
              <w:rPr>
                <w:rFonts w:hint="eastAsia" w:ascii="宋体" w:hAnsi="宋体" w:cs="宋体"/>
                <w:sz w:val="21"/>
                <w:szCs w:val="21"/>
                <w:highlight w:val="none"/>
                <w:lang w:val="en-US" w:eastAsia="zh-CN"/>
              </w:rPr>
              <w:t>2</w:t>
            </w:r>
          </w:p>
        </w:tc>
        <w:tc>
          <w:tcPr>
            <w:tcW w:w="4407" w:type="pct"/>
            <w:gridSpan w:val="2"/>
            <w:tcBorders>
              <w:top w:val="single" w:color="auto" w:sz="4" w:space="0"/>
              <w:left w:val="single" w:color="auto" w:sz="4" w:space="0"/>
              <w:bottom w:val="single" w:color="auto" w:sz="4" w:space="0"/>
              <w:right w:val="single" w:color="auto" w:sz="4" w:space="0"/>
            </w:tcBorders>
            <w:noWrap w:val="0"/>
            <w:vAlign w:val="center"/>
          </w:tcPr>
          <w:p w14:paraId="3A46FC48">
            <w:pPr>
              <w:widowControl/>
              <w:adjustRightInd w:val="0"/>
              <w:snapToGrid w:val="0"/>
              <w:jc w:val="left"/>
              <w:rPr>
                <w:rFonts w:hint="eastAsia" w:ascii="宋体" w:hAnsi="宋体"/>
                <w:bCs/>
                <w:szCs w:val="21"/>
                <w:highlight w:val="none"/>
              </w:rPr>
            </w:pPr>
            <w:r>
              <w:rPr>
                <w:rFonts w:hint="eastAsia" w:ascii="宋体" w:hAnsi="宋体"/>
                <w:b/>
                <w:bCs w:val="0"/>
                <w:szCs w:val="21"/>
                <w:highlight w:val="none"/>
              </w:rPr>
              <w:t>投标人在最近一期公路水路建设市场从业单位信用评定结果中的信用等级分数，有江苏省信用评价结果的，以江苏省信用评价结果为准；无江苏省信用评价结果的，其信用等级按照以下原则确定：①资质由国务院有关部门许可的从业单位，其信用等级按照国务院交通运输主管部门公布的全国综合评价结果确定；②无全国综合评价结果的从业单位，其信用等级参照注册地省交通运输主管部门综合评价结果确定：综合评价结果为AA级的，按照A级（信用分94.5分）确定；综合评价结果为 A级的，按照A级（信用分不高于90分）确定；注册地省级综合评价结果为B级及以下的，按照其信用等级确定；③其他从业单位，其信用等级按照暂定A级确定（信用分为85分）；④存</w:t>
            </w:r>
            <w:r>
              <w:rPr>
                <w:rFonts w:hint="eastAsia" w:ascii="宋体" w:hAnsi="宋体" w:eastAsia="宋体" w:cs="Times New Roman"/>
                <w:b/>
                <w:bCs w:val="0"/>
                <w:szCs w:val="21"/>
                <w:highlight w:val="none"/>
              </w:rPr>
              <w:t>在《江苏省公路水运建设市场信用信息管理办法》（苏交规〔2024〕6号）第十</w:t>
            </w:r>
            <w:r>
              <w:rPr>
                <w:rFonts w:hint="eastAsia" w:ascii="宋体" w:hAnsi="宋体"/>
                <w:b/>
                <w:bCs w:val="0"/>
                <w:szCs w:val="21"/>
                <w:highlight w:val="none"/>
              </w:rPr>
              <w:t>四条规定的不良行为的，按照规定确定其信用等级）；信用类别：</w:t>
            </w:r>
            <w:r>
              <w:rPr>
                <w:rFonts w:hint="eastAsia" w:ascii="宋体" w:hAnsi="宋体"/>
                <w:b/>
                <w:bCs w:val="0"/>
                <w:szCs w:val="21"/>
                <w:highlight w:val="none"/>
                <w:lang w:val="en-US" w:eastAsia="zh-CN"/>
              </w:rPr>
              <w:t>服务类</w:t>
            </w:r>
            <w:r>
              <w:rPr>
                <w:rFonts w:hint="eastAsia" w:ascii="宋体" w:hAnsi="宋体"/>
                <w:b/>
                <w:bCs w:val="0"/>
                <w:szCs w:val="21"/>
                <w:highlight w:val="none"/>
              </w:rPr>
              <w:t>；以截止递交投标文件当日查询信息为准。适用于本项目招标投标过程各阶段（环节）。</w:t>
            </w:r>
          </w:p>
        </w:tc>
      </w:tr>
      <w:bookmarkEnd w:id="58"/>
      <w:bookmarkEnd w:id="72"/>
      <w:bookmarkEnd w:id="73"/>
      <w:bookmarkEnd w:id="74"/>
    </w:tbl>
    <w:p w14:paraId="2AC7551C">
      <w:pPr>
        <w:pStyle w:val="115"/>
        <w:spacing w:before="120" w:after="120" w:afterLines="50"/>
        <w:jc w:val="both"/>
        <w:rPr>
          <w:rFonts w:ascii="Garamond" w:hAnsi="Garamond" w:eastAsia="宋体" w:cs="Times New Roman"/>
          <w:b/>
          <w:color w:val="000000" w:themeColor="text1"/>
          <w:highlight w:val="none"/>
          <w14:textFill>
            <w14:solidFill>
              <w14:schemeClr w14:val="tx1"/>
            </w14:solidFill>
          </w14:textFill>
        </w:rPr>
        <w:sectPr>
          <w:pgSz w:w="11906" w:h="16838"/>
          <w:pgMar w:top="1418" w:right="1247" w:bottom="1418" w:left="1418" w:header="851" w:footer="680" w:gutter="0"/>
          <w:pgNumType w:fmt="decimal"/>
          <w:cols w:space="720" w:num="1"/>
          <w:docGrid w:linePitch="312" w:charSpace="0"/>
        </w:sectPr>
      </w:pPr>
    </w:p>
    <w:p w14:paraId="3D0C807D">
      <w:pPr>
        <w:adjustRightInd w:val="0"/>
        <w:snapToGrid w:val="0"/>
        <w:spacing w:after="120" w:afterLines="50" w:line="360" w:lineRule="auto"/>
        <w:jc w:val="center"/>
        <w:rPr>
          <w:rFonts w:ascii="宋体" w:hAnsi="宋体"/>
          <w:kern w:val="0"/>
          <w:szCs w:val="21"/>
          <w:highlight w:val="none"/>
        </w:rPr>
      </w:pPr>
      <w:r>
        <w:rPr>
          <w:rFonts w:hint="eastAsia" w:ascii="宋体" w:hAnsi="宋体"/>
          <w:kern w:val="0"/>
          <w:szCs w:val="21"/>
          <w:highlight w:val="none"/>
        </w:rPr>
        <w:t>附录1</w:t>
      </w:r>
      <w:r>
        <w:rPr>
          <w:rFonts w:hint="eastAsia" w:ascii="宋体" w:hAnsi="宋体"/>
          <w:kern w:val="0"/>
          <w:szCs w:val="21"/>
          <w:highlight w:val="none"/>
        </w:rPr>
        <w:tab/>
      </w:r>
      <w:r>
        <w:rPr>
          <w:rFonts w:hint="eastAsia" w:ascii="宋体" w:hAnsi="宋体"/>
          <w:kern w:val="0"/>
          <w:szCs w:val="21"/>
          <w:highlight w:val="none"/>
        </w:rPr>
        <w:t xml:space="preserve"> 资格审查条件(资质最低条件)</w:t>
      </w:r>
    </w:p>
    <w:tbl>
      <w:tblPr>
        <w:tblStyle w:val="47"/>
        <w:tblW w:w="9177" w:type="dxa"/>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7"/>
      </w:tblGrid>
      <w:tr w14:paraId="7C1FF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9177" w:type="dxa"/>
            <w:tcBorders>
              <w:top w:val="single" w:color="auto" w:sz="4" w:space="0"/>
              <w:left w:val="single" w:color="auto" w:sz="4" w:space="0"/>
              <w:bottom w:val="single" w:color="auto" w:sz="4" w:space="0"/>
              <w:right w:val="single" w:color="auto" w:sz="4" w:space="0"/>
            </w:tcBorders>
            <w:noWrap w:val="0"/>
            <w:vAlign w:val="center"/>
          </w:tcPr>
          <w:p w14:paraId="716B12CF">
            <w:pPr>
              <w:jc w:val="center"/>
              <w:rPr>
                <w:rFonts w:ascii="宋体" w:hAnsi="宋体"/>
                <w:kern w:val="0"/>
                <w:szCs w:val="21"/>
                <w:highlight w:val="none"/>
              </w:rPr>
            </w:pPr>
            <w:r>
              <w:rPr>
                <w:rFonts w:hint="eastAsia" w:ascii="宋体" w:hAnsi="宋体"/>
                <w:kern w:val="0"/>
                <w:szCs w:val="21"/>
                <w:highlight w:val="none"/>
              </w:rPr>
              <w:t>企业资质等级要求</w:t>
            </w:r>
          </w:p>
        </w:tc>
      </w:tr>
      <w:tr w14:paraId="22B91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177" w:type="dxa"/>
            <w:tcBorders>
              <w:top w:val="single" w:color="auto" w:sz="4" w:space="0"/>
              <w:left w:val="single" w:color="auto" w:sz="4" w:space="0"/>
              <w:bottom w:val="single" w:color="auto" w:sz="4" w:space="0"/>
              <w:right w:val="single" w:color="auto" w:sz="4" w:space="0"/>
            </w:tcBorders>
            <w:noWrap w:val="0"/>
            <w:vAlign w:val="center"/>
          </w:tcPr>
          <w:p w14:paraId="193FDB3E">
            <w:pPr>
              <w:snapToGrid w:val="0"/>
              <w:spacing w:line="360" w:lineRule="auto"/>
              <w:jc w:val="center"/>
              <w:rPr>
                <w:rFonts w:ascii="宋体" w:hAnsi="宋体"/>
                <w:kern w:val="0"/>
                <w:szCs w:val="21"/>
                <w:highlight w:val="none"/>
                <w:u w:val="single"/>
              </w:rPr>
            </w:pPr>
            <w:r>
              <w:rPr>
                <w:rFonts w:hint="eastAsia" w:ascii="宋体" w:hAnsi="宋体"/>
                <w:kern w:val="0"/>
                <w:szCs w:val="21"/>
                <w:highlight w:val="none"/>
              </w:rPr>
              <w:t>详见招标公告</w:t>
            </w:r>
          </w:p>
        </w:tc>
      </w:tr>
    </w:tbl>
    <w:p w14:paraId="02397A88">
      <w:pPr>
        <w:rPr>
          <w:rFonts w:ascii="宋体" w:hAnsi="宋体"/>
          <w:kern w:val="0"/>
          <w:szCs w:val="21"/>
          <w:highlight w:val="none"/>
        </w:rPr>
      </w:pPr>
    </w:p>
    <w:p w14:paraId="00ABD993">
      <w:pPr>
        <w:rPr>
          <w:rFonts w:ascii="宋体" w:hAnsi="宋体"/>
          <w:kern w:val="0"/>
          <w:szCs w:val="21"/>
          <w:highlight w:val="none"/>
        </w:rPr>
      </w:pPr>
    </w:p>
    <w:p w14:paraId="6E6DE991">
      <w:pPr>
        <w:rPr>
          <w:rFonts w:ascii="宋体" w:hAnsi="宋体"/>
          <w:kern w:val="0"/>
          <w:szCs w:val="21"/>
          <w:highlight w:val="none"/>
        </w:rPr>
      </w:pPr>
    </w:p>
    <w:p w14:paraId="6A9F32A4">
      <w:pPr>
        <w:jc w:val="center"/>
        <w:rPr>
          <w:rFonts w:ascii="宋体" w:hAnsi="宋体"/>
          <w:kern w:val="0"/>
          <w:szCs w:val="21"/>
          <w:highlight w:val="none"/>
        </w:rPr>
      </w:pPr>
      <w:r>
        <w:rPr>
          <w:rFonts w:hint="eastAsia" w:ascii="宋体" w:hAnsi="宋体"/>
          <w:kern w:val="0"/>
          <w:szCs w:val="21"/>
          <w:highlight w:val="none"/>
        </w:rPr>
        <w:t>附录2</w:t>
      </w:r>
      <w:r>
        <w:rPr>
          <w:rFonts w:hint="eastAsia" w:ascii="宋体" w:hAnsi="宋体"/>
          <w:kern w:val="0"/>
          <w:szCs w:val="21"/>
          <w:highlight w:val="none"/>
        </w:rPr>
        <w:tab/>
      </w:r>
      <w:r>
        <w:rPr>
          <w:rFonts w:hint="eastAsia" w:ascii="宋体" w:hAnsi="宋体"/>
          <w:kern w:val="0"/>
          <w:szCs w:val="21"/>
          <w:highlight w:val="none"/>
        </w:rPr>
        <w:t xml:space="preserve"> 资格审查条件(业绩最低要求)</w:t>
      </w:r>
    </w:p>
    <w:tbl>
      <w:tblPr>
        <w:tblStyle w:val="47"/>
        <w:tblW w:w="917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7"/>
      </w:tblGrid>
      <w:tr w14:paraId="6E033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9177" w:type="dxa"/>
            <w:tcBorders>
              <w:top w:val="single" w:color="auto" w:sz="4" w:space="0"/>
              <w:left w:val="single" w:color="auto" w:sz="4" w:space="0"/>
              <w:bottom w:val="single" w:color="auto" w:sz="4" w:space="0"/>
              <w:right w:val="single" w:color="auto" w:sz="4" w:space="0"/>
            </w:tcBorders>
            <w:noWrap w:val="0"/>
            <w:vAlign w:val="center"/>
          </w:tcPr>
          <w:p w14:paraId="1EFD21D2">
            <w:pPr>
              <w:jc w:val="center"/>
              <w:rPr>
                <w:rFonts w:hint="eastAsia" w:ascii="宋体" w:hAnsi="宋体"/>
                <w:kern w:val="0"/>
                <w:szCs w:val="21"/>
                <w:highlight w:val="none"/>
              </w:rPr>
            </w:pPr>
            <w:r>
              <w:rPr>
                <w:rFonts w:hint="eastAsia" w:ascii="宋体" w:hAnsi="宋体"/>
                <w:kern w:val="0"/>
                <w:szCs w:val="21"/>
                <w:highlight w:val="none"/>
              </w:rPr>
              <w:t>业绩要求</w:t>
            </w:r>
          </w:p>
        </w:tc>
      </w:tr>
      <w:tr w14:paraId="102AA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9177" w:type="dxa"/>
            <w:tcBorders>
              <w:top w:val="single" w:color="auto" w:sz="4" w:space="0"/>
              <w:left w:val="single" w:color="auto" w:sz="4" w:space="0"/>
              <w:bottom w:val="single" w:color="auto" w:sz="4" w:space="0"/>
              <w:right w:val="single" w:color="auto" w:sz="4" w:space="0"/>
            </w:tcBorders>
            <w:noWrap w:val="0"/>
            <w:vAlign w:val="top"/>
          </w:tcPr>
          <w:p w14:paraId="6C337612">
            <w:pPr>
              <w:jc w:val="center"/>
              <w:rPr>
                <w:rFonts w:hint="eastAsia" w:ascii="宋体" w:hAnsi="宋体"/>
                <w:kern w:val="0"/>
                <w:szCs w:val="21"/>
                <w:highlight w:val="none"/>
              </w:rPr>
            </w:pPr>
            <w:r>
              <w:rPr>
                <w:rFonts w:hint="eastAsia" w:ascii="宋体" w:hAnsi="宋体"/>
                <w:kern w:val="0"/>
                <w:szCs w:val="21"/>
                <w:highlight w:val="none"/>
              </w:rPr>
              <w:t>详见招标公告</w:t>
            </w:r>
          </w:p>
        </w:tc>
      </w:tr>
    </w:tbl>
    <w:p w14:paraId="7C090592">
      <w:pPr>
        <w:rPr>
          <w:rFonts w:ascii="宋体" w:hAnsi="宋体"/>
          <w:kern w:val="0"/>
          <w:szCs w:val="21"/>
          <w:highlight w:val="none"/>
        </w:rPr>
      </w:pPr>
    </w:p>
    <w:p w14:paraId="5D9A36B3">
      <w:pPr>
        <w:rPr>
          <w:rFonts w:ascii="宋体" w:hAnsi="宋体"/>
          <w:kern w:val="0"/>
          <w:szCs w:val="21"/>
          <w:highlight w:val="none"/>
        </w:rPr>
      </w:pPr>
    </w:p>
    <w:p w14:paraId="0799D887">
      <w:pPr>
        <w:rPr>
          <w:rFonts w:ascii="宋体" w:hAnsi="宋体"/>
          <w:kern w:val="0"/>
          <w:szCs w:val="21"/>
          <w:highlight w:val="none"/>
        </w:rPr>
      </w:pPr>
    </w:p>
    <w:p w14:paraId="64E0BBB9">
      <w:pPr>
        <w:jc w:val="center"/>
        <w:rPr>
          <w:rFonts w:ascii="宋体" w:hAnsi="宋体"/>
          <w:kern w:val="0"/>
          <w:szCs w:val="21"/>
          <w:highlight w:val="none"/>
        </w:rPr>
      </w:pPr>
      <w:r>
        <w:rPr>
          <w:rFonts w:hint="eastAsia" w:ascii="宋体" w:hAnsi="宋体"/>
          <w:kern w:val="0"/>
          <w:szCs w:val="21"/>
          <w:highlight w:val="none"/>
        </w:rPr>
        <w:t>附录3</w:t>
      </w:r>
      <w:r>
        <w:rPr>
          <w:rFonts w:hint="eastAsia" w:ascii="宋体" w:hAnsi="宋体"/>
          <w:kern w:val="0"/>
          <w:szCs w:val="21"/>
          <w:highlight w:val="none"/>
        </w:rPr>
        <w:tab/>
      </w:r>
      <w:r>
        <w:rPr>
          <w:rFonts w:hint="eastAsia" w:ascii="宋体" w:hAnsi="宋体"/>
          <w:kern w:val="0"/>
          <w:szCs w:val="21"/>
          <w:highlight w:val="none"/>
        </w:rPr>
        <w:t xml:space="preserve"> 资格审查条件(信誉最低要求)</w:t>
      </w:r>
    </w:p>
    <w:tbl>
      <w:tblPr>
        <w:tblStyle w:val="47"/>
        <w:tblW w:w="9155" w:type="dxa"/>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5"/>
      </w:tblGrid>
      <w:tr w14:paraId="70DF9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9155" w:type="dxa"/>
            <w:tcBorders>
              <w:top w:val="single" w:color="auto" w:sz="4" w:space="0"/>
              <w:left w:val="single" w:color="auto" w:sz="4" w:space="0"/>
              <w:bottom w:val="single" w:color="auto" w:sz="4" w:space="0"/>
              <w:right w:val="single" w:color="auto" w:sz="4" w:space="0"/>
            </w:tcBorders>
            <w:noWrap w:val="0"/>
            <w:vAlign w:val="center"/>
          </w:tcPr>
          <w:p w14:paraId="63B60848">
            <w:pPr>
              <w:jc w:val="center"/>
              <w:rPr>
                <w:rFonts w:hint="eastAsia" w:ascii="宋体" w:hAnsi="宋体"/>
                <w:kern w:val="0"/>
                <w:szCs w:val="21"/>
                <w:highlight w:val="none"/>
              </w:rPr>
            </w:pPr>
            <w:r>
              <w:rPr>
                <w:rFonts w:hint="eastAsia" w:ascii="宋体" w:hAnsi="宋体"/>
                <w:kern w:val="0"/>
                <w:szCs w:val="21"/>
                <w:highlight w:val="none"/>
              </w:rPr>
              <w:t>信誉要求</w:t>
            </w:r>
          </w:p>
        </w:tc>
      </w:tr>
      <w:tr w14:paraId="22540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9155" w:type="dxa"/>
            <w:tcBorders>
              <w:top w:val="single" w:color="auto" w:sz="4" w:space="0"/>
              <w:left w:val="single" w:color="auto" w:sz="4" w:space="0"/>
              <w:bottom w:val="single" w:color="auto" w:sz="4" w:space="0"/>
              <w:right w:val="single" w:color="auto" w:sz="4" w:space="0"/>
            </w:tcBorders>
            <w:noWrap w:val="0"/>
            <w:vAlign w:val="top"/>
          </w:tcPr>
          <w:p w14:paraId="2ED45AB3">
            <w:pPr>
              <w:jc w:val="center"/>
              <w:rPr>
                <w:rFonts w:hint="eastAsia" w:ascii="宋体" w:hAnsi="宋体"/>
                <w:kern w:val="0"/>
                <w:szCs w:val="21"/>
                <w:highlight w:val="none"/>
              </w:rPr>
            </w:pPr>
            <w:r>
              <w:rPr>
                <w:rFonts w:hint="eastAsia" w:ascii="宋体" w:hAnsi="宋体"/>
                <w:kern w:val="0"/>
                <w:szCs w:val="21"/>
                <w:highlight w:val="none"/>
              </w:rPr>
              <w:t>详见招标公告</w:t>
            </w:r>
          </w:p>
        </w:tc>
      </w:tr>
    </w:tbl>
    <w:p w14:paraId="0D077F7A">
      <w:pPr>
        <w:widowControl/>
        <w:jc w:val="left"/>
        <w:rPr>
          <w:rFonts w:ascii="宋体" w:hAnsi="宋体"/>
          <w:kern w:val="0"/>
          <w:szCs w:val="21"/>
          <w:highlight w:val="none"/>
        </w:rPr>
      </w:pPr>
    </w:p>
    <w:p w14:paraId="7C701D66">
      <w:pPr>
        <w:jc w:val="center"/>
        <w:rPr>
          <w:rFonts w:ascii="宋体" w:hAnsi="宋体"/>
          <w:kern w:val="0"/>
          <w:szCs w:val="21"/>
          <w:highlight w:val="none"/>
        </w:rPr>
      </w:pPr>
    </w:p>
    <w:p w14:paraId="4C3ED1D7">
      <w:pPr>
        <w:jc w:val="center"/>
        <w:rPr>
          <w:rFonts w:ascii="宋体" w:hAnsi="宋体"/>
          <w:kern w:val="0"/>
          <w:szCs w:val="21"/>
          <w:highlight w:val="none"/>
        </w:rPr>
      </w:pPr>
      <w:r>
        <w:rPr>
          <w:rFonts w:hint="eastAsia" w:ascii="宋体" w:hAnsi="宋体"/>
          <w:kern w:val="0"/>
          <w:szCs w:val="21"/>
          <w:highlight w:val="none"/>
        </w:rPr>
        <w:t>附录4</w:t>
      </w:r>
      <w:r>
        <w:rPr>
          <w:rFonts w:hint="eastAsia" w:ascii="宋体" w:hAnsi="宋体"/>
          <w:kern w:val="0"/>
          <w:szCs w:val="21"/>
          <w:highlight w:val="none"/>
        </w:rPr>
        <w:tab/>
      </w:r>
      <w:r>
        <w:rPr>
          <w:rFonts w:hint="eastAsia" w:ascii="宋体" w:hAnsi="宋体"/>
          <w:kern w:val="0"/>
          <w:szCs w:val="21"/>
          <w:highlight w:val="none"/>
        </w:rPr>
        <w:t xml:space="preserve"> 资格审查条件(项目负责人最低要求)</w:t>
      </w:r>
    </w:p>
    <w:tbl>
      <w:tblPr>
        <w:tblStyle w:val="47"/>
        <w:tblW w:w="4864" w:type="pct"/>
        <w:tblInd w:w="115" w:type="dxa"/>
        <w:tblLayout w:type="autofit"/>
        <w:tblCellMar>
          <w:top w:w="0" w:type="dxa"/>
          <w:left w:w="108" w:type="dxa"/>
          <w:bottom w:w="0" w:type="dxa"/>
          <w:right w:w="108" w:type="dxa"/>
        </w:tblCellMar>
      </w:tblPr>
      <w:tblGrid>
        <w:gridCol w:w="3127"/>
        <w:gridCol w:w="2593"/>
        <w:gridCol w:w="3480"/>
      </w:tblGrid>
      <w:tr w14:paraId="71B2DE1A">
        <w:tblPrEx>
          <w:tblCellMar>
            <w:top w:w="0" w:type="dxa"/>
            <w:left w:w="108" w:type="dxa"/>
            <w:bottom w:w="0" w:type="dxa"/>
            <w:right w:w="108" w:type="dxa"/>
          </w:tblCellMar>
        </w:tblPrEx>
        <w:trPr>
          <w:trHeight w:val="408" w:hRule="atLeast"/>
        </w:trPr>
        <w:tc>
          <w:tcPr>
            <w:tcW w:w="1699" w:type="pct"/>
            <w:tcBorders>
              <w:top w:val="single" w:color="000000" w:sz="4" w:space="0"/>
              <w:left w:val="single" w:color="000000" w:sz="4" w:space="0"/>
              <w:bottom w:val="single" w:color="000000" w:sz="4" w:space="0"/>
              <w:right w:val="single" w:color="000000" w:sz="4" w:space="0"/>
            </w:tcBorders>
            <w:noWrap w:val="0"/>
            <w:vAlign w:val="center"/>
          </w:tcPr>
          <w:p w14:paraId="08E712B8">
            <w:pPr>
              <w:jc w:val="center"/>
              <w:rPr>
                <w:rFonts w:ascii="宋体" w:hAnsi="宋体"/>
                <w:kern w:val="0"/>
                <w:szCs w:val="21"/>
                <w:highlight w:val="none"/>
              </w:rPr>
            </w:pPr>
            <w:r>
              <w:rPr>
                <w:rFonts w:hint="eastAsia" w:ascii="宋体" w:hAnsi="宋体"/>
                <w:kern w:val="0"/>
                <w:szCs w:val="21"/>
                <w:highlight w:val="none"/>
              </w:rPr>
              <w:t>人 员</w:t>
            </w:r>
          </w:p>
        </w:tc>
        <w:tc>
          <w:tcPr>
            <w:tcW w:w="1409" w:type="pct"/>
            <w:tcBorders>
              <w:top w:val="single" w:color="000000" w:sz="4" w:space="0"/>
              <w:left w:val="single" w:color="000000" w:sz="4" w:space="0"/>
              <w:bottom w:val="single" w:color="000000" w:sz="4" w:space="0"/>
              <w:right w:val="single" w:color="000000" w:sz="4" w:space="0"/>
            </w:tcBorders>
            <w:noWrap w:val="0"/>
            <w:vAlign w:val="center"/>
          </w:tcPr>
          <w:p w14:paraId="0EA130D8">
            <w:pPr>
              <w:jc w:val="center"/>
              <w:rPr>
                <w:rFonts w:ascii="宋体" w:hAnsi="宋体"/>
                <w:kern w:val="0"/>
                <w:szCs w:val="21"/>
                <w:highlight w:val="none"/>
              </w:rPr>
            </w:pPr>
            <w:r>
              <w:rPr>
                <w:rFonts w:hint="eastAsia" w:ascii="宋体" w:hAnsi="宋体"/>
                <w:kern w:val="0"/>
                <w:szCs w:val="21"/>
                <w:highlight w:val="none"/>
              </w:rPr>
              <w:t>数 量</w:t>
            </w:r>
          </w:p>
        </w:tc>
        <w:tc>
          <w:tcPr>
            <w:tcW w:w="1891" w:type="pct"/>
            <w:tcBorders>
              <w:top w:val="single" w:color="000000" w:sz="4" w:space="0"/>
              <w:left w:val="single" w:color="000000" w:sz="4" w:space="0"/>
              <w:bottom w:val="single" w:color="000000" w:sz="4" w:space="0"/>
              <w:right w:val="single" w:color="000000" w:sz="4" w:space="0"/>
            </w:tcBorders>
            <w:noWrap w:val="0"/>
            <w:vAlign w:val="center"/>
          </w:tcPr>
          <w:p w14:paraId="1C1067E3">
            <w:pPr>
              <w:jc w:val="center"/>
              <w:rPr>
                <w:rFonts w:hint="eastAsia" w:ascii="宋体" w:hAnsi="宋体"/>
                <w:kern w:val="0"/>
                <w:szCs w:val="21"/>
                <w:highlight w:val="none"/>
              </w:rPr>
            </w:pPr>
            <w:r>
              <w:rPr>
                <w:rFonts w:hint="eastAsia" w:ascii="宋体" w:hAnsi="宋体"/>
                <w:kern w:val="0"/>
                <w:szCs w:val="21"/>
                <w:highlight w:val="none"/>
              </w:rPr>
              <w:t>资格要求</w:t>
            </w:r>
          </w:p>
        </w:tc>
      </w:tr>
      <w:tr w14:paraId="72EDBDE4">
        <w:tblPrEx>
          <w:tblCellMar>
            <w:top w:w="0" w:type="dxa"/>
            <w:left w:w="108" w:type="dxa"/>
            <w:bottom w:w="0" w:type="dxa"/>
            <w:right w:w="108" w:type="dxa"/>
          </w:tblCellMar>
        </w:tblPrEx>
        <w:trPr>
          <w:trHeight w:val="408" w:hRule="atLeast"/>
        </w:trPr>
        <w:tc>
          <w:tcPr>
            <w:tcW w:w="1699" w:type="pct"/>
            <w:tcBorders>
              <w:top w:val="single" w:color="000000" w:sz="4" w:space="0"/>
              <w:left w:val="single" w:color="000000" w:sz="4" w:space="0"/>
              <w:bottom w:val="single" w:color="000000" w:sz="4" w:space="0"/>
              <w:right w:val="single" w:color="000000" w:sz="4" w:space="0"/>
            </w:tcBorders>
            <w:noWrap w:val="0"/>
            <w:vAlign w:val="center"/>
          </w:tcPr>
          <w:p w14:paraId="35A965E5">
            <w:pPr>
              <w:jc w:val="center"/>
              <w:rPr>
                <w:rFonts w:ascii="宋体" w:hAnsi="宋体"/>
                <w:kern w:val="0"/>
                <w:szCs w:val="21"/>
                <w:highlight w:val="none"/>
              </w:rPr>
            </w:pPr>
            <w:r>
              <w:rPr>
                <w:rFonts w:hint="eastAsia" w:ascii="宋体" w:hAnsi="宋体"/>
                <w:kern w:val="0"/>
                <w:szCs w:val="21"/>
                <w:highlight w:val="none"/>
              </w:rPr>
              <w:t>项目负责人</w:t>
            </w:r>
          </w:p>
        </w:tc>
        <w:tc>
          <w:tcPr>
            <w:tcW w:w="1409" w:type="pct"/>
            <w:tcBorders>
              <w:top w:val="single" w:color="000000" w:sz="4" w:space="0"/>
              <w:left w:val="single" w:color="000000" w:sz="4" w:space="0"/>
              <w:bottom w:val="single" w:color="000000" w:sz="4" w:space="0"/>
              <w:right w:val="single" w:color="000000" w:sz="4" w:space="0"/>
            </w:tcBorders>
            <w:noWrap w:val="0"/>
            <w:vAlign w:val="center"/>
          </w:tcPr>
          <w:p w14:paraId="30AB52AC">
            <w:pPr>
              <w:jc w:val="center"/>
              <w:rPr>
                <w:rFonts w:ascii="宋体" w:hAnsi="宋体"/>
                <w:kern w:val="0"/>
                <w:szCs w:val="21"/>
                <w:highlight w:val="none"/>
              </w:rPr>
            </w:pPr>
            <w:r>
              <w:rPr>
                <w:rFonts w:hint="eastAsia" w:ascii="宋体" w:hAnsi="宋体"/>
                <w:kern w:val="0"/>
                <w:szCs w:val="21"/>
                <w:highlight w:val="none"/>
              </w:rPr>
              <w:t>1</w:t>
            </w:r>
          </w:p>
        </w:tc>
        <w:tc>
          <w:tcPr>
            <w:tcW w:w="1891" w:type="pct"/>
            <w:tcBorders>
              <w:top w:val="single" w:color="000000" w:sz="4" w:space="0"/>
              <w:left w:val="single" w:color="000000" w:sz="4" w:space="0"/>
              <w:bottom w:val="single" w:color="000000" w:sz="4" w:space="0"/>
              <w:right w:val="single" w:color="000000" w:sz="4" w:space="0"/>
            </w:tcBorders>
            <w:noWrap w:val="0"/>
            <w:vAlign w:val="center"/>
          </w:tcPr>
          <w:p w14:paraId="50578687">
            <w:pPr>
              <w:jc w:val="center"/>
              <w:rPr>
                <w:rFonts w:hint="eastAsia" w:ascii="宋体" w:hAnsi="宋体"/>
                <w:kern w:val="0"/>
                <w:szCs w:val="21"/>
                <w:highlight w:val="none"/>
              </w:rPr>
            </w:pPr>
            <w:r>
              <w:rPr>
                <w:rFonts w:hint="eastAsia" w:ascii="宋体" w:hAnsi="宋体"/>
                <w:kern w:val="0"/>
                <w:szCs w:val="21"/>
                <w:highlight w:val="none"/>
              </w:rPr>
              <w:t>详见招标公告</w:t>
            </w:r>
          </w:p>
        </w:tc>
      </w:tr>
    </w:tbl>
    <w:p w14:paraId="27E82202">
      <w:pPr>
        <w:rPr>
          <w:rFonts w:ascii="宋体" w:hAnsi="宋体"/>
          <w:kern w:val="0"/>
          <w:szCs w:val="21"/>
          <w:highlight w:val="none"/>
        </w:rPr>
      </w:pPr>
    </w:p>
    <w:p w14:paraId="5D141AEB">
      <w:pPr>
        <w:rPr>
          <w:rFonts w:ascii="宋体" w:hAnsi="宋体"/>
          <w:szCs w:val="21"/>
          <w:highlight w:val="none"/>
        </w:rPr>
      </w:pPr>
    </w:p>
    <w:p w14:paraId="63B2CB1C">
      <w:pPr>
        <w:tabs>
          <w:tab w:val="left" w:pos="1426"/>
        </w:tabs>
        <w:rPr>
          <w:rFonts w:ascii="宋体" w:hAnsi="宋体"/>
          <w:kern w:val="0"/>
          <w:szCs w:val="21"/>
          <w:highlight w:val="none"/>
        </w:rPr>
      </w:pPr>
      <w:r>
        <w:rPr>
          <w:rFonts w:ascii="宋体" w:hAnsi="宋体"/>
          <w:kern w:val="0"/>
          <w:szCs w:val="21"/>
          <w:highlight w:val="none"/>
        </w:rPr>
        <w:tab/>
      </w:r>
    </w:p>
    <w:p w14:paraId="49C4F780">
      <w:pPr>
        <w:jc w:val="center"/>
        <w:rPr>
          <w:rFonts w:ascii="宋体" w:hAnsi="宋体"/>
          <w:kern w:val="0"/>
          <w:szCs w:val="21"/>
          <w:highlight w:val="none"/>
        </w:rPr>
      </w:pPr>
      <w:r>
        <w:rPr>
          <w:rFonts w:hint="eastAsia" w:ascii="宋体" w:hAnsi="宋体"/>
          <w:kern w:val="0"/>
          <w:szCs w:val="21"/>
          <w:highlight w:val="none"/>
        </w:rPr>
        <w:t>附录5</w:t>
      </w:r>
      <w:r>
        <w:rPr>
          <w:rFonts w:hint="eastAsia" w:ascii="宋体" w:hAnsi="宋体"/>
          <w:kern w:val="0"/>
          <w:szCs w:val="21"/>
          <w:highlight w:val="none"/>
        </w:rPr>
        <w:tab/>
      </w:r>
      <w:r>
        <w:rPr>
          <w:rFonts w:hint="eastAsia" w:ascii="宋体" w:hAnsi="宋体"/>
          <w:kern w:val="0"/>
          <w:szCs w:val="21"/>
          <w:highlight w:val="none"/>
        </w:rPr>
        <w:t xml:space="preserve"> 资格审查条件(分项负责人最低要求)</w:t>
      </w:r>
    </w:p>
    <w:tbl>
      <w:tblPr>
        <w:tblStyle w:val="47"/>
        <w:tblW w:w="5020" w:type="pct"/>
        <w:tblInd w:w="-5" w:type="dxa"/>
        <w:tblLayout w:type="autofit"/>
        <w:tblCellMar>
          <w:top w:w="0" w:type="dxa"/>
          <w:left w:w="0" w:type="dxa"/>
          <w:bottom w:w="0" w:type="dxa"/>
          <w:right w:w="0" w:type="dxa"/>
        </w:tblCellMar>
      </w:tblPr>
      <w:tblGrid>
        <w:gridCol w:w="3142"/>
        <w:gridCol w:w="2603"/>
        <w:gridCol w:w="3543"/>
      </w:tblGrid>
      <w:tr w14:paraId="1314040C">
        <w:tblPrEx>
          <w:tblCellMar>
            <w:top w:w="0" w:type="dxa"/>
            <w:left w:w="0" w:type="dxa"/>
            <w:bottom w:w="0" w:type="dxa"/>
            <w:right w:w="0" w:type="dxa"/>
          </w:tblCellMar>
        </w:tblPrEx>
        <w:trPr>
          <w:trHeight w:val="545" w:hRule="atLeast"/>
        </w:trPr>
        <w:tc>
          <w:tcPr>
            <w:tcW w:w="1691" w:type="pct"/>
            <w:tcBorders>
              <w:top w:val="single" w:color="000000" w:sz="4" w:space="0"/>
              <w:left w:val="single" w:color="000000" w:sz="4" w:space="0"/>
              <w:bottom w:val="single" w:color="000000" w:sz="4" w:space="0"/>
              <w:right w:val="single" w:color="000000" w:sz="4" w:space="0"/>
            </w:tcBorders>
            <w:noWrap w:val="0"/>
            <w:vAlign w:val="center"/>
          </w:tcPr>
          <w:p w14:paraId="50E57361">
            <w:pPr>
              <w:jc w:val="center"/>
              <w:rPr>
                <w:rFonts w:ascii="宋体" w:hAnsi="宋体"/>
                <w:kern w:val="0"/>
                <w:szCs w:val="21"/>
                <w:highlight w:val="none"/>
              </w:rPr>
            </w:pPr>
            <w:r>
              <w:rPr>
                <w:rFonts w:hint="eastAsia" w:ascii="宋体" w:hAnsi="宋体"/>
                <w:kern w:val="0"/>
                <w:szCs w:val="21"/>
                <w:highlight w:val="none"/>
              </w:rPr>
              <w:t>人</w:t>
            </w:r>
            <w:r>
              <w:rPr>
                <w:rFonts w:hint="eastAsia" w:ascii="宋体" w:hAnsi="宋体"/>
                <w:kern w:val="0"/>
                <w:szCs w:val="21"/>
                <w:highlight w:val="none"/>
              </w:rPr>
              <w:tab/>
            </w:r>
            <w:r>
              <w:rPr>
                <w:rFonts w:hint="eastAsia" w:ascii="宋体" w:hAnsi="宋体"/>
                <w:kern w:val="0"/>
                <w:szCs w:val="21"/>
                <w:highlight w:val="none"/>
              </w:rPr>
              <w:t>员</w:t>
            </w:r>
          </w:p>
        </w:tc>
        <w:tc>
          <w:tcPr>
            <w:tcW w:w="1401" w:type="pct"/>
            <w:tcBorders>
              <w:top w:val="single" w:color="000000" w:sz="4" w:space="0"/>
              <w:left w:val="single" w:color="000000" w:sz="4" w:space="0"/>
              <w:bottom w:val="single" w:color="000000" w:sz="4" w:space="0"/>
              <w:right w:val="single" w:color="000000" w:sz="4" w:space="0"/>
            </w:tcBorders>
            <w:noWrap w:val="0"/>
            <w:vAlign w:val="center"/>
          </w:tcPr>
          <w:p w14:paraId="5501759C">
            <w:pPr>
              <w:jc w:val="center"/>
              <w:rPr>
                <w:rFonts w:ascii="宋体" w:hAnsi="宋体"/>
                <w:kern w:val="0"/>
                <w:szCs w:val="21"/>
                <w:highlight w:val="none"/>
              </w:rPr>
            </w:pPr>
            <w:r>
              <w:rPr>
                <w:rFonts w:hint="eastAsia" w:ascii="宋体" w:hAnsi="宋体"/>
                <w:kern w:val="0"/>
                <w:szCs w:val="21"/>
                <w:highlight w:val="none"/>
              </w:rPr>
              <w:t>数</w:t>
            </w:r>
            <w:r>
              <w:rPr>
                <w:rFonts w:hint="eastAsia" w:ascii="宋体" w:hAnsi="宋体"/>
                <w:kern w:val="0"/>
                <w:szCs w:val="21"/>
                <w:highlight w:val="none"/>
              </w:rPr>
              <w:tab/>
            </w:r>
            <w:r>
              <w:rPr>
                <w:rFonts w:hint="eastAsia" w:ascii="宋体" w:hAnsi="宋体"/>
                <w:kern w:val="0"/>
                <w:szCs w:val="21"/>
                <w:highlight w:val="none"/>
              </w:rPr>
              <w:t>量</w:t>
            </w:r>
          </w:p>
        </w:tc>
        <w:tc>
          <w:tcPr>
            <w:tcW w:w="1907" w:type="pct"/>
            <w:tcBorders>
              <w:top w:val="single" w:color="000000" w:sz="4" w:space="0"/>
              <w:left w:val="single" w:color="000000" w:sz="4" w:space="0"/>
              <w:bottom w:val="single" w:color="000000" w:sz="4" w:space="0"/>
              <w:right w:val="single" w:color="000000" w:sz="4" w:space="0"/>
            </w:tcBorders>
            <w:noWrap w:val="0"/>
            <w:vAlign w:val="center"/>
          </w:tcPr>
          <w:p w14:paraId="710A7904">
            <w:pPr>
              <w:jc w:val="center"/>
              <w:rPr>
                <w:rFonts w:ascii="宋体" w:hAnsi="宋体"/>
                <w:kern w:val="0"/>
                <w:szCs w:val="21"/>
                <w:highlight w:val="none"/>
              </w:rPr>
            </w:pPr>
            <w:r>
              <w:rPr>
                <w:rFonts w:hint="eastAsia" w:ascii="宋体" w:hAnsi="宋体"/>
                <w:kern w:val="0"/>
                <w:szCs w:val="21"/>
                <w:highlight w:val="none"/>
              </w:rPr>
              <w:t>资格要求</w:t>
            </w:r>
          </w:p>
        </w:tc>
      </w:tr>
      <w:tr w14:paraId="0CCDD69E">
        <w:tblPrEx>
          <w:tblCellMar>
            <w:top w:w="0" w:type="dxa"/>
            <w:left w:w="0" w:type="dxa"/>
            <w:bottom w:w="0" w:type="dxa"/>
            <w:right w:w="0" w:type="dxa"/>
          </w:tblCellMar>
        </w:tblPrEx>
        <w:trPr>
          <w:trHeight w:val="457" w:hRule="atLeast"/>
        </w:trPr>
        <w:tc>
          <w:tcPr>
            <w:tcW w:w="1691" w:type="pct"/>
            <w:tcBorders>
              <w:top w:val="single" w:color="000000" w:sz="4" w:space="0"/>
              <w:left w:val="single" w:color="000000" w:sz="4" w:space="0"/>
              <w:bottom w:val="single" w:color="000000" w:sz="4" w:space="0"/>
              <w:right w:val="single" w:color="000000" w:sz="4" w:space="0"/>
            </w:tcBorders>
            <w:noWrap w:val="0"/>
            <w:vAlign w:val="center"/>
          </w:tcPr>
          <w:p w14:paraId="3B0F1612">
            <w:pPr>
              <w:jc w:val="center"/>
              <w:rPr>
                <w:rFonts w:ascii="宋体" w:hAnsi="宋体"/>
                <w:kern w:val="0"/>
                <w:szCs w:val="21"/>
                <w:highlight w:val="none"/>
              </w:rPr>
            </w:pPr>
            <w:r>
              <w:rPr>
                <w:rFonts w:hint="eastAsia" w:ascii="宋体" w:hAnsi="宋体"/>
                <w:kern w:val="0"/>
                <w:szCs w:val="21"/>
                <w:highlight w:val="none"/>
              </w:rPr>
              <w:t>/</w:t>
            </w:r>
          </w:p>
        </w:tc>
        <w:tc>
          <w:tcPr>
            <w:tcW w:w="1401" w:type="pct"/>
            <w:tcBorders>
              <w:top w:val="single" w:color="000000" w:sz="4" w:space="0"/>
              <w:left w:val="single" w:color="000000" w:sz="4" w:space="0"/>
              <w:bottom w:val="single" w:color="000000" w:sz="4" w:space="0"/>
              <w:right w:val="single" w:color="000000" w:sz="4" w:space="0"/>
            </w:tcBorders>
            <w:noWrap w:val="0"/>
            <w:vAlign w:val="center"/>
          </w:tcPr>
          <w:p w14:paraId="0F63122F">
            <w:pPr>
              <w:jc w:val="center"/>
              <w:rPr>
                <w:rFonts w:ascii="宋体" w:hAnsi="宋体"/>
                <w:kern w:val="0"/>
                <w:szCs w:val="21"/>
                <w:highlight w:val="none"/>
              </w:rPr>
            </w:pPr>
            <w:r>
              <w:rPr>
                <w:rFonts w:hint="eastAsia" w:ascii="宋体" w:hAnsi="宋体"/>
                <w:kern w:val="0"/>
                <w:szCs w:val="21"/>
                <w:highlight w:val="none"/>
              </w:rPr>
              <w:t>/</w:t>
            </w:r>
          </w:p>
        </w:tc>
        <w:tc>
          <w:tcPr>
            <w:tcW w:w="1907" w:type="pct"/>
            <w:tcBorders>
              <w:top w:val="single" w:color="000000" w:sz="4" w:space="0"/>
              <w:left w:val="single" w:color="000000" w:sz="4" w:space="0"/>
              <w:bottom w:val="single" w:color="000000" w:sz="4" w:space="0"/>
              <w:right w:val="single" w:color="000000" w:sz="4" w:space="0"/>
            </w:tcBorders>
            <w:noWrap w:val="0"/>
            <w:vAlign w:val="center"/>
          </w:tcPr>
          <w:p w14:paraId="28ED5DDF">
            <w:pPr>
              <w:jc w:val="center"/>
              <w:rPr>
                <w:rFonts w:ascii="宋体" w:hAnsi="宋体"/>
                <w:kern w:val="0"/>
                <w:szCs w:val="21"/>
                <w:highlight w:val="none"/>
              </w:rPr>
            </w:pPr>
            <w:r>
              <w:rPr>
                <w:rFonts w:hint="eastAsia" w:ascii="宋体" w:hAnsi="宋体"/>
                <w:kern w:val="0"/>
                <w:szCs w:val="21"/>
                <w:highlight w:val="none"/>
              </w:rPr>
              <w:t>/</w:t>
            </w:r>
          </w:p>
        </w:tc>
      </w:tr>
    </w:tbl>
    <w:p w14:paraId="65A86804">
      <w:pPr>
        <w:adjustRightInd w:val="0"/>
        <w:snapToGrid w:val="0"/>
        <w:spacing w:after="120" w:afterLines="50" w:line="360" w:lineRule="auto"/>
        <w:jc w:val="center"/>
        <w:rPr>
          <w:rFonts w:ascii="黑体" w:hAnsi="宋体" w:eastAsia="黑体"/>
          <w:b/>
          <w:bCs/>
          <w:sz w:val="32"/>
          <w:szCs w:val="32"/>
          <w:highlight w:val="none"/>
        </w:rPr>
      </w:pPr>
    </w:p>
    <w:p w14:paraId="2EFDAA73">
      <w:pPr>
        <w:jc w:val="center"/>
        <w:rPr>
          <w:rFonts w:hint="eastAsia" w:ascii="宋体" w:hAnsi="宋体" w:cs="宋体"/>
          <w:kern w:val="0"/>
          <w:szCs w:val="21"/>
          <w:highlight w:val="none"/>
        </w:rPr>
      </w:pPr>
      <w:r>
        <w:rPr>
          <w:rFonts w:hint="eastAsia"/>
          <w:highlight w:val="none"/>
        </w:rPr>
        <w:br w:type="page"/>
      </w:r>
      <w:r>
        <w:rPr>
          <w:rFonts w:hint="eastAsia" w:ascii="宋体" w:hAnsi="宋体" w:cs="宋体"/>
          <w:kern w:val="0"/>
          <w:szCs w:val="21"/>
          <w:highlight w:val="none"/>
        </w:rPr>
        <w:t>总则</w:t>
      </w:r>
    </w:p>
    <w:p w14:paraId="24F2FA68">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1.1 项目概况</w:t>
      </w:r>
    </w:p>
    <w:p w14:paraId="0AE55E7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1.1.1 根据《中华人民共和国招标投标法》、《中华人民共和国招标投标法实施条例》等有关法律、法规和规章的规定，本招标项目已具备招标条件，现对本项目进行招标。</w:t>
      </w:r>
    </w:p>
    <w:p w14:paraId="417B2E28">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1.1.2本招标项目招标人:见投标人须知前附表。</w:t>
      </w:r>
    </w:p>
    <w:p w14:paraId="3F4B4BE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1.1.3本标段招标代理机构: 见投标人须知前附表。</w:t>
      </w:r>
    </w:p>
    <w:p w14:paraId="73305B66">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1.1.4本招标项目名称:见投标人须知前附表。</w:t>
      </w:r>
    </w:p>
    <w:p w14:paraId="669C5D4C">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1.1.5本标段建设地点:见投标人须知前附表。</w:t>
      </w:r>
    </w:p>
    <w:p w14:paraId="58D642B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1.1.6 本标段建设规模: 见投标人须知前附表。</w:t>
      </w:r>
    </w:p>
    <w:p w14:paraId="4C776FB0">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1.1.7本标段投资估算: 见投标人须知前附表。</w:t>
      </w:r>
    </w:p>
    <w:p w14:paraId="463BB9E6">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1.2 招标项目的资金来源和落实情况</w:t>
      </w:r>
    </w:p>
    <w:p w14:paraId="0BB37BD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1.2.1 资金来源及比例：见投标人须知前附表。</w:t>
      </w:r>
    </w:p>
    <w:p w14:paraId="21C716A2">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1.2.2 资金落实情况：见投标人须知前附表。</w:t>
      </w:r>
    </w:p>
    <w:p w14:paraId="1B56BCA8">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1.3 招标范围、计划工期、质量要求和安全目标</w:t>
      </w:r>
    </w:p>
    <w:p w14:paraId="113D3500">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1.3.1 招标范围：见投标人须知前附表。</w:t>
      </w:r>
    </w:p>
    <w:p w14:paraId="73DA705E">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1.3.2本标段的服务期限: 见投标人须知前附表。</w:t>
      </w:r>
    </w:p>
    <w:p w14:paraId="64A25521">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1.3.3本标段的质量要求: 见投标人须知前附表。</w:t>
      </w:r>
    </w:p>
    <w:p w14:paraId="10E43029">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1.3.4本标段的安全目标: 见投标人须知前附表。</w:t>
      </w:r>
    </w:p>
    <w:p w14:paraId="4FD5C988">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1.4 投标人资格要求</w:t>
      </w:r>
    </w:p>
    <w:p w14:paraId="1D892E41">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1.4.1投标人应具备承担本项目的资质条件、能力和信誉。</w:t>
      </w:r>
    </w:p>
    <w:p w14:paraId="35F3778A">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（1）资质要求：见投标人须知前附表；</w:t>
      </w:r>
    </w:p>
    <w:p w14:paraId="54190362">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（2）业绩要求：见投标人须知前附表；</w:t>
      </w:r>
    </w:p>
    <w:p w14:paraId="26AE8C18">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（3）信誉要求：见投标人须知前附表；</w:t>
      </w:r>
    </w:p>
    <w:p w14:paraId="0379A8BC">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（4）项目负责人资格：见投标人须知前附表；</w:t>
      </w:r>
    </w:p>
    <w:p w14:paraId="5EA49012">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（5）其他要求：见投标人须知前附表。</w:t>
      </w:r>
    </w:p>
    <w:p w14:paraId="051F05F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需要提交的相关证明材料见本章第3.5款的规定。</w:t>
      </w:r>
    </w:p>
    <w:p w14:paraId="1249846B">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1.4.2 投标人须知前附表规定接受联合体投标的，联合体除应符合本章第1.4.1项和投标人须知前附表的要求外，还应遵守以下规定：</w:t>
      </w:r>
    </w:p>
    <w:p w14:paraId="425949B6">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（1）联合体各方应按招标文件提供的格式签订联合体协议书，明确联合体牵头人和各方权利义务，并承诺就中标项目向招标人承担连带责任；</w:t>
      </w:r>
    </w:p>
    <w:p w14:paraId="198AB97A">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（2）由同一专业的单位组成的联合体，按照资质等级较低的单位确定资质等级；</w:t>
      </w:r>
    </w:p>
    <w:p w14:paraId="7294EA1A">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（3）联合体各方不得再以自己名义单独或参加其他联合体在同一标段中投标；</w:t>
      </w:r>
    </w:p>
    <w:p w14:paraId="2FBE3B44">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联合体各方应分别按照本招标文件的要求，填写投标文件中的相应表格，并由联合体牵头人负责对联合体各成员的资料进行统一汇总后一并提交给招标人；联合体牵头人所提交的投标文件应认为已代表了联合体各成员的真实情况；</w:t>
      </w:r>
    </w:p>
    <w:p w14:paraId="72530BD4">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（5）尽管委任了联合体牵头人，但联合体各成员在投标、签订合同与履行合同过程中，仍负有连带的和各自的法律责任。</w:t>
      </w:r>
    </w:p>
    <w:p w14:paraId="64AD2AC0">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1.4.3 投标人（包括联合体各成员）不得与本标段相关单位存在下列关联关系：</w:t>
      </w:r>
    </w:p>
    <w:p w14:paraId="32AEE402">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（1）为招标人不具有独立法人资格的附属机构（单位）；</w:t>
      </w:r>
    </w:p>
    <w:p w14:paraId="26FA860A">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（2）与招标人存在利害关系且可能影响招标公正性；</w:t>
      </w:r>
    </w:p>
    <w:p w14:paraId="3F30EF24">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（3）与本标段的其他投标人同为一个单位负责人；</w:t>
      </w:r>
    </w:p>
    <w:p w14:paraId="25C3D2F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（4）与本标段的其他投标人存在控股、管理关系；</w:t>
      </w:r>
    </w:p>
    <w:p w14:paraId="09636A52">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（5）为本标段的代建人；</w:t>
      </w:r>
    </w:p>
    <w:p w14:paraId="562B6ADA">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（6）为本标段的招标代理机构；</w:t>
      </w:r>
    </w:p>
    <w:p w14:paraId="43712576">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（7）与本标段的监理人或代建人或招标代理机构同为一个法定代表人；</w:t>
      </w:r>
    </w:p>
    <w:p w14:paraId="78EB4476">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（8）与本标段的监理人或代建人或招标代理机构存在控股或参股关系；</w:t>
      </w:r>
    </w:p>
    <w:p w14:paraId="16E95A28">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（9）法律法规或投标人须知前附表规定的其他情形。</w:t>
      </w:r>
    </w:p>
    <w:p w14:paraId="59140D6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1.4.4 投标人（包括联合体各成员）不得存在下列不良状况或不良信用记录：</w:t>
      </w:r>
    </w:p>
    <w:p w14:paraId="4F0C4902">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（1）被省级及以上交通运输主管部门取消招标项目所在地的投标资格且处于有效期内；</w:t>
      </w:r>
    </w:p>
    <w:p w14:paraId="2AAB2604">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（2）被责令停业，暂扣或吊销执照，或吊销资质证书；</w:t>
      </w:r>
    </w:p>
    <w:p w14:paraId="12EDD088">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（3）进入清算程序，或被宣告破产，或其他丧失履约能力的情形；</w:t>
      </w:r>
    </w:p>
    <w:p w14:paraId="67DF98B2">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（4）在国家企业信用信息公示系统（http://www.gsxt.gov.cn/）中被列入严重违法失信企业名单；</w:t>
      </w:r>
    </w:p>
    <w:p w14:paraId="419A4371">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（5）在“信用中国”网站（http://www.creditchina.gov.cn/）中被列入失信被执行人名单；</w:t>
      </w:r>
    </w:p>
    <w:p w14:paraId="2C01FD07">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（6）法律法规或投标人须知前附表规定的其他情形。</w:t>
      </w:r>
    </w:p>
    <w:p w14:paraId="0424A549">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1.5 费用承担</w:t>
      </w:r>
    </w:p>
    <w:p w14:paraId="69110BB8">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投标人准备和参加投标活动发生的费用自理。</w:t>
      </w:r>
    </w:p>
    <w:p w14:paraId="50585DA0">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1.6 保密</w:t>
      </w:r>
    </w:p>
    <w:p w14:paraId="1DD158BC">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参与招标投标活动的各方应对招标文件和投标文件中的商业和技术等秘密保密，否则应承担相应的法律责任。</w:t>
      </w:r>
    </w:p>
    <w:p w14:paraId="311366C7">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1.7 语言文字</w:t>
      </w:r>
    </w:p>
    <w:p w14:paraId="48A33A4A">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招标投标文件使用的语言文字为中文。专用术语使用外文的，应附有中文注释。</w:t>
      </w:r>
    </w:p>
    <w:p w14:paraId="5047B520">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1.8 计量单位</w:t>
      </w:r>
    </w:p>
    <w:p w14:paraId="1D0CD8F0">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所有计量均采用中华人民共和国法定计量单位。</w:t>
      </w:r>
    </w:p>
    <w:p w14:paraId="31F35207">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1.9 踏勘现场</w:t>
      </w:r>
    </w:p>
    <w:p w14:paraId="30CA7914">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1.9.1 第一章“招标公告”或“投标邀请书”规定组织踏勘现场的，招标人按规定的时间、地点组织投标人踏勘项目现场。部分投标人未按时参加踏勘现场的，不影响踏勘现场的正常进行。招标人不得组织单个或部分投标人踏勘项目现场。</w:t>
      </w:r>
    </w:p>
    <w:p w14:paraId="6E05954F">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1.9.2投标人踏勘现场发生的费用自理。</w:t>
      </w:r>
    </w:p>
    <w:p w14:paraId="68BEE360">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1.9.3除招标人的原因外, 投标人自行负责在踏勘现场中所发生的人员伤亡和财产损失。</w:t>
      </w:r>
    </w:p>
    <w:p w14:paraId="30440B69">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1.9.4招标人在踏勘现场中介绍的工程场地和相关的周边环境情況，供投标人在编制投标文件时参考, 招标人不对投标人据此作出的判断和决策负责。</w:t>
      </w:r>
    </w:p>
    <w:p w14:paraId="23BC3C59">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1.10 投标预备会</w:t>
      </w:r>
    </w:p>
    <w:p w14:paraId="21EEE1DC">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1.10.1 第一章“招标公告”或“投标邀请书”规定召开投标预备会的，招标人按规定的时间和地点召开投标预备会，澄清投标人提出的问题。</w:t>
      </w:r>
    </w:p>
    <w:p w14:paraId="727648D9">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1.10.2 投标人应按投标人须知前附表规定的时间和形式将提出的问题送达招标人，以便招标人在会议期间澄清。</w:t>
      </w:r>
    </w:p>
    <w:p w14:paraId="35E2200C">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1.10.3 投标预备会后，招标人将对投标人所提问题的澄清，以本章第2.2款规定的形式通知所有购买招标文件的投标人。该澄清内容为招标文件的组成部分。</w:t>
      </w:r>
    </w:p>
    <w:p w14:paraId="09603FF2">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1.11 分包</w:t>
      </w:r>
    </w:p>
    <w:p w14:paraId="74AD2027">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1.11.1 投标人拟在中标后将中标项目的部分非主体、非关键性工作进行分包的，应符合以下规定：</w:t>
      </w:r>
    </w:p>
    <w:p w14:paraId="5F6C3601">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（1）分包内容要求: 允许分包的范围仅限于项目内容中非主体、非关键性的技术工作。招标人允许分包或不允许分包的工程(如有)应在投标人须知前附表中载明。</w:t>
      </w:r>
    </w:p>
    <w:p w14:paraId="3E92634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（2）接受分包的第三人资格要求: 分包人的资格能力应与其分包工程的标准和规模相适应,且具备投标人须知前附表中规定的资格条件。</w:t>
      </w:r>
    </w:p>
    <w:p w14:paraId="5C6129A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（3）其他要求:投标人如有分包计划，应按第六章“投标文件格式”的要求填写“拟分包项目情况表”， 明确拟分包的工程及规模，且投标人中标后的分包应满足合同条款第4.3款的相关要求。</w:t>
      </w:r>
    </w:p>
    <w:p w14:paraId="406E7876">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1.11.2 中标人不得向他人转让中标项目，接受分包的人不得再次分包。中标人应就分包项目向招标人负责，接受分包的人就分包项目承担连带责任。</w:t>
      </w:r>
    </w:p>
    <w:p w14:paraId="5BA756EA">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1.12 响应和偏差</w:t>
      </w:r>
    </w:p>
    <w:p w14:paraId="7F3A3458">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1.12.1 投标文件偏离招标文件某些要求，视为投标文件存在偏差。偏差包括重大偏差和细微偏差。</w:t>
      </w:r>
    </w:p>
    <w:p w14:paraId="5C7200DE">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1.12.2 投标文件应对招标文件的实质性要求和条件作出满足性或更有利于招标人的响应，否则，视为投标文件存在重大偏差，投标人的投标将被否决。</w:t>
      </w:r>
    </w:p>
    <w:p w14:paraId="4F676C2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投标文件存在第三章“评标办法”中所列任一否决投标情形的，均属于存在重大偏差。</w:t>
      </w:r>
    </w:p>
    <w:p w14:paraId="296A1F2E">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1.12.3 投标文件中的下列偏差为细微偏差：</w:t>
      </w:r>
    </w:p>
    <w:p w14:paraId="7B6BEEA5">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在按照第三章“评标办法”的规定对投标价进行算术性错误修正及其他错误修正后，最终投标报价未超过最高投标限价（如有）的情况下，出现第三章“评标办法”规定的算术性错误和投标报价的其他错误；</w:t>
      </w:r>
    </w:p>
    <w:p w14:paraId="27199F3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（2）技术建议书不够完善；</w:t>
      </w:r>
    </w:p>
    <w:p w14:paraId="52E37B69">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（3）投标文件个别文字有遗漏错误等不影响投标文件实质性内容的偏差。</w:t>
      </w:r>
    </w:p>
    <w:p w14:paraId="56047535">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1.12.4 评标委员会对投标文件中的细微偏差按如下规定处理：</w:t>
      </w:r>
    </w:p>
    <w:p w14:paraId="6AC52B68">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（1）对于本章第1.12.3项（1）目所述的细微偏差，按照第三章“评标办法”的规定予以修正并要求投标人进行澄清；</w:t>
      </w:r>
    </w:p>
    <w:p w14:paraId="7B18EC8C">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（2）对于本章第1.12.3 项（2）、（3）目所述的细微偏差，可在相关评分因素的评分中的酌情扣分。</w:t>
      </w:r>
    </w:p>
    <w:p w14:paraId="58AC8B6B">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1.12.5投标人应根据招标文件的要求提供工作大纲等内容以对招标文件作出响应。</w:t>
      </w:r>
    </w:p>
    <w:p w14:paraId="517BFEAF">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2.招标文件</w:t>
      </w:r>
    </w:p>
    <w:p w14:paraId="5AC945A8">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2.1 招标文件的组成</w:t>
      </w:r>
    </w:p>
    <w:p w14:paraId="3FD395F1">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本招标文件包括：</w:t>
      </w:r>
    </w:p>
    <w:p w14:paraId="38CE9EA4">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（1）招标公告（或投标邀请书）；</w:t>
      </w:r>
    </w:p>
    <w:p w14:paraId="789D0C55">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（2）投标人须知；</w:t>
      </w:r>
    </w:p>
    <w:p w14:paraId="7A95805A">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（3）评标办法；</w:t>
      </w:r>
    </w:p>
    <w:p w14:paraId="71139FEB">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（4）合同条款及格式；</w:t>
      </w:r>
    </w:p>
    <w:p w14:paraId="2EE9D9B2">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（5）发包人要求</w:t>
      </w:r>
    </w:p>
    <w:p w14:paraId="4705FDAB">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（6）投标文件格式；</w:t>
      </w:r>
    </w:p>
    <w:p w14:paraId="6F86FC6F">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（7）投标人须知前附表规定的其他资料。</w:t>
      </w:r>
    </w:p>
    <w:p w14:paraId="1F4964F5">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根据本章第1.10 款、第2.2款和第2.3款对招标文件所作的澄清、修改，构成招标文件的组成部分。</w:t>
      </w:r>
    </w:p>
    <w:p w14:paraId="78BABF85">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当招标文件、招标文件的澄清或修改等在同一内容的表述上不一致时，以最后发出的文件为准。</w:t>
      </w:r>
    </w:p>
    <w:p w14:paraId="7651A046">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2.2 招标文件的澄清</w:t>
      </w:r>
    </w:p>
    <w:p w14:paraId="1512178E">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14:paraId="077E44D9">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2.2.2 招标文件的澄清以投标人须知前附表规定的形式发给所有购买招标文件的投标人，但不指明澄清问题的来源。澄清发出的时间距本章第4.2.1项规定的投标截止时间不足15日，且澄清内容可能影响投标文件编制的，将相应延长投标截止时间。</w:t>
      </w:r>
    </w:p>
    <w:p w14:paraId="30B5DC25">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2.2.3 招标文件澄清发出的同时，投标人应注意及时浏览网上发出的澄清，因投标人自身原因未及时获知澄清内容而导致的任何后果将由投标人自行承担。</w:t>
      </w:r>
    </w:p>
    <w:p w14:paraId="0146DF56">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2.2.4 除非招标人认为确有必要答复，否则，招标人有权拒绝回复投标人在本章第2.2.1项规定的时间后提出的任何澄清要求。</w:t>
      </w:r>
    </w:p>
    <w:p w14:paraId="1B7BFE53">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2.3 招标文件的修改</w:t>
      </w:r>
    </w:p>
    <w:p w14:paraId="740677F4">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2.3.1 招标人以投标人须知前附表规定的形式修改招标文件，并通知所有已购买招标文件的投标人。修改招标文件的时间距本章第4.2.1项规定的投标截止时间不足15日，且修改内容可能影响投标文件编制的，将相应延长投标截止时间。</w:t>
      </w:r>
    </w:p>
    <w:p w14:paraId="47DB47E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2.3.2 招标文件修改发出的同时，投标人应注意及时浏览网上发出的修改，因投标人自身原因未及时获知修改内容而导致的任何后果将由投标人自行承担。</w:t>
      </w:r>
    </w:p>
    <w:p w14:paraId="1EF5C2C3">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2.4 招标文件的异议</w:t>
      </w:r>
    </w:p>
    <w:p w14:paraId="21A2E501">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投标人或其他利害关系人对招标文件有异议的，应在投标截止时间10日前以书面形式提出。招标人将在收到异议之日起3日内作出答复；作出答复前，将暂停招标投标活动。提出异议与作出答复均应以书面（含传真）的方式。</w:t>
      </w:r>
    </w:p>
    <w:p w14:paraId="2429965D">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3.投标文件</w:t>
      </w:r>
    </w:p>
    <w:p w14:paraId="2C1C9BD4">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3.1 投标文件的组成</w:t>
      </w:r>
    </w:p>
    <w:p w14:paraId="611AC88A">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3.1.1 投标文件应采用双信封形式, 包括下列内容:</w:t>
      </w:r>
    </w:p>
    <w:p w14:paraId="741F4824">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第一个信封（商务及技术文件）：</w:t>
      </w:r>
    </w:p>
    <w:p w14:paraId="21F25157">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（1）投标函；</w:t>
      </w:r>
    </w:p>
    <w:p w14:paraId="17E9A901">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（2）授权委托书或法定代表人身份证明；</w:t>
      </w:r>
    </w:p>
    <w:p w14:paraId="146D2716">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（3）投标保证金；</w:t>
      </w:r>
    </w:p>
    <w:p w14:paraId="0C8C93C6">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（4）拟分包项目情况表；</w:t>
      </w:r>
    </w:p>
    <w:p w14:paraId="0242C09C">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（5）投标报表；</w:t>
      </w:r>
    </w:p>
    <w:p w14:paraId="79263F2A">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（6）工作大纲；</w:t>
      </w:r>
    </w:p>
    <w:p w14:paraId="0CAC7F1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（7）其他资料。</w:t>
      </w:r>
    </w:p>
    <w:p w14:paraId="79BD49B5">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第二个信封（报价文件）：</w:t>
      </w:r>
    </w:p>
    <w:p w14:paraId="0E2FD93E">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（1）投标函；</w:t>
      </w:r>
    </w:p>
    <w:p w14:paraId="047B5A60">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（2）报价清单。</w:t>
      </w:r>
    </w:p>
    <w:p w14:paraId="4DA393C9">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投标人在评标过程中作出的符合法律法规和招标文件规定的澄清确认，构成投标文件的组成部分。</w:t>
      </w:r>
    </w:p>
    <w:p w14:paraId="00117E34">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3.1.2投标人须知前附表规定不接受联合体投标的, 或投标人没有组成联合体的, 投标文件不包括本章第3.1.1(3)目所指的联合体协议书。</w:t>
      </w:r>
    </w:p>
    <w:p w14:paraId="1C5E0217">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3.1.3 投标人须知前附表未要求提交投标保证金的，投标文件不包括本章第3.1.1（4）目所指的投标保证金。</w:t>
      </w:r>
    </w:p>
    <w:p w14:paraId="122932F2">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3.2 投标报价</w:t>
      </w:r>
    </w:p>
    <w:p w14:paraId="7D2CDAEE">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3.2.1 投标报价应包括国家规定的增值税税金，除投标人须知前附表另有规定外，增值税税金按一般计税方法计算。投标人应按第六章“投标文件格式”的要求在投标函中进行报价并填写报价清单相应表格。</w:t>
      </w:r>
    </w:p>
    <w:p w14:paraId="29844FA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3.2.2投标人应充分了解本项目的总体情况以及影响投标报价的其他要素, 招标文件规定的工作内容和计划工作量，自行测算咨询服务费用。</w:t>
      </w:r>
    </w:p>
    <w:p w14:paraId="32186570">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3.2.3本项目的报价方式见投标人须知前附表。投标人在投标截止时间前修改投标函中的投标报价总额，应同时修改投标文件“报价清单”中的相应报价。此修改须符合本章第4.3款的有关要求。</w:t>
      </w:r>
    </w:p>
    <w:p w14:paraId="7A7EA692">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3.2.4招标人设有最高投标限价的, 投标人的投标报价不得超过最高投标限价, 最高投标限价在投标人须知前附表中载明。</w:t>
      </w:r>
    </w:p>
    <w:p w14:paraId="797A1EC7">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3.2.5投标报价的其他要求见投标人须知前附表。</w:t>
      </w:r>
    </w:p>
    <w:p w14:paraId="5449572F">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3.3 投标有效期</w:t>
      </w:r>
    </w:p>
    <w:p w14:paraId="425BE1D9">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3.3.1除投标人须知前附表另有规定外,投标有效期为90日。</w:t>
      </w:r>
    </w:p>
    <w:p w14:paraId="5376068B">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3.3.2 在投标有效期内，投标人撤销投标文件的，应承担招标文件和法律规定的责任。</w:t>
      </w:r>
    </w:p>
    <w:p w14:paraId="1C7487F7">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3.3.3 出现特殊情况需要延长投标有效期的，招标人通知所有投标人延长投标有效期。投标人应予以答复，同意延长的，应相应延长其投标保证金的有效期，但不得要求或被允许修改其投标文件；投标人拒绝延长的，其投标失效，但投标人有权收回其投标保证金及以现金或支票形式递交的投标保证金的银行同期活期存款利息。</w:t>
      </w:r>
    </w:p>
    <w:p w14:paraId="39E33279">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3.4 投标保证金</w:t>
      </w:r>
    </w:p>
    <w:p w14:paraId="5984933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3.4.1投标人在递交投标文件的同时, 应按投标人须知前附表规定的金额和第六章“投标文件格式”规定的投标保证金格式递交投标保证金，并作为其投标文件的组成部分。联合体投标的，其投标保证金由牵头人递交，并应符合投标人须知前附表的规定。</w:t>
      </w:r>
    </w:p>
    <w:p w14:paraId="7ED44054">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3.4.2 投标人不按本章第3.4.1项要求提交投标保证金的，评标委员会将否决其投标。</w:t>
      </w:r>
    </w:p>
    <w:p w14:paraId="36C188FF">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3.4.3 招标人最迟将在中标通知书发出后5日内向中标候选人以外的其他投标人退还投标保证金，与中标人签订合同后5日内向中标人和其他中标候选人退还投标保证金。投标保证金以现金或支票形式递交的，招标人应同时退还投标保证金的银行同期活期存款利息，且退还至投标人的基本账户。</w:t>
      </w:r>
    </w:p>
    <w:p w14:paraId="629FD906">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利息计算原则见投标人须知前附表。</w:t>
      </w:r>
    </w:p>
    <w:p w14:paraId="05B3936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3.4.4 有下列情形之一的，投标保证金将不予退还：</w:t>
      </w:r>
    </w:p>
    <w:p w14:paraId="6DBA719E">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（1）投标人在投标有效期内撤销投标文件；</w:t>
      </w:r>
    </w:p>
    <w:p w14:paraId="6BA43E5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（2）中标人在收到中标通知书后，无正当理由不与招标人订立合同，在签订合同时向招标人提出附加条件，或不按照招标文件要求提交履约保证金；</w:t>
      </w:r>
    </w:p>
    <w:p w14:paraId="03ACBB60">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（3）发生投标人须知前附表规定的其他可以不予退还投标保证金的情形。</w:t>
      </w:r>
    </w:p>
    <w:p w14:paraId="0B8FFB9C">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3.5 资格审查资料</w:t>
      </w:r>
    </w:p>
    <w:p w14:paraId="6874E1FA">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3.5.1投标人须按投标人须知前附表和招标文件 “投标文件格式”中规定的表格内容填写资格审查相关资料，并按其具体要求提供相关证件及证明材料。</w:t>
      </w:r>
    </w:p>
    <w:p w14:paraId="3ED7F459">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3.5.2 投标人须知前附表规定接受联合体投标的，本章第</w:t>
      </w:r>
      <w:r>
        <w:rPr>
          <w:rFonts w:ascii="宋体" w:hAnsi="宋体" w:cs="宋体"/>
          <w:kern w:val="0"/>
          <w:szCs w:val="21"/>
          <w:highlight w:val="none"/>
        </w:rPr>
        <w:t>3.5.1</w:t>
      </w:r>
      <w:r>
        <w:rPr>
          <w:rFonts w:hint="eastAsia" w:ascii="宋体" w:hAnsi="宋体" w:cs="宋体"/>
          <w:kern w:val="0"/>
          <w:szCs w:val="21"/>
          <w:highlight w:val="none"/>
        </w:rPr>
        <w:t>项至第</w:t>
      </w:r>
      <w:r>
        <w:rPr>
          <w:rFonts w:ascii="宋体" w:hAnsi="宋体" w:cs="宋体"/>
          <w:kern w:val="0"/>
          <w:szCs w:val="21"/>
          <w:highlight w:val="none"/>
        </w:rPr>
        <w:t>3.5.5</w:t>
      </w:r>
      <w:r>
        <w:rPr>
          <w:rFonts w:hint="eastAsia" w:ascii="宋体" w:hAnsi="宋体" w:cs="宋体"/>
          <w:kern w:val="0"/>
          <w:szCs w:val="21"/>
          <w:highlight w:val="none"/>
        </w:rPr>
        <w:t xml:space="preserve">项规定的表格和资料应包括联合体各方相关情况。 </w:t>
      </w:r>
    </w:p>
    <w:p w14:paraId="0F583999">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 xml:space="preserve">3.5.3 除合同条款约定的特殊情形外，投标人在投标文件中填报的项目负责人不允许更换。 </w:t>
      </w:r>
    </w:p>
    <w:p w14:paraId="58FE5FF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 xml:space="preserve">3.5.4 招标人有权核查投标人在投标文件中提供的资料，若在评标期间发现投标人提供了虚假资料，其投标将被否决；若在签订合同前发现作为中标候选人的投标人提供了虚假资料，招标人有权取消其中标资格；若在合同实施期间发现投标人提供了虚假资料，招标人有权从合同价款或履约保证金中扣除不超过 </w:t>
      </w:r>
      <w:r>
        <w:rPr>
          <w:rFonts w:ascii="宋体" w:hAnsi="宋体" w:cs="宋体"/>
          <w:kern w:val="0"/>
          <w:szCs w:val="21"/>
          <w:highlight w:val="none"/>
        </w:rPr>
        <w:t>5</w:t>
      </w:r>
      <w:r>
        <w:rPr>
          <w:rFonts w:hint="eastAsia" w:ascii="宋体" w:hAnsi="宋体" w:cs="宋体"/>
          <w:kern w:val="0"/>
          <w:szCs w:val="21"/>
          <w:highlight w:val="none"/>
        </w:rPr>
        <w:t xml:space="preserve">％签约合同价的金额作为违约金。 </w:t>
      </w:r>
    </w:p>
    <w:p w14:paraId="5A400606">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3.6 备选投标方案</w:t>
      </w:r>
    </w:p>
    <w:p w14:paraId="1AE22B09">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3.6.1 除投标人须知前附表规定允许外，投标人不得递交备选投标方案，否则其投标将被否决。</w:t>
      </w:r>
    </w:p>
    <w:p w14:paraId="3FFB93FB">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14:paraId="7DA196AA">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3.6.3 投标人提供两个或两个以上投标报价，或在投标文件中提供一个报价，但同时提供两个或两个以上工作大纲的，视为提供备选方案。</w:t>
      </w:r>
    </w:p>
    <w:p w14:paraId="44849C1E">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3.7 投标文件的编制</w:t>
      </w:r>
    </w:p>
    <w:p w14:paraId="75015BC0">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3.7.1 投标文件应投标须知前附表要求及第六章“投标文件格式”进行编写，如有必要，可以增加附页，作为投标文件的组成部分。</w:t>
      </w:r>
    </w:p>
    <w:p w14:paraId="04D3D310">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 xml:space="preserve">3.7.2 投标文件应对招标文件有关服务期限、投标有效期、质量要求、安全目标、发包人要求、招标范围等实质性内容作出响应。 </w:t>
      </w:r>
    </w:p>
    <w:p w14:paraId="2295C44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3.7.3 投标文件应用不褪色的材料书写或打印。投标文件格式中明确要求投标人法定代表人或其委托代理人签字之处，必须由相关人员亲笔签名（</w:t>
      </w:r>
      <w:r>
        <w:rPr>
          <w:rFonts w:ascii="Garamond" w:hAnsi="Garamond"/>
          <w:color w:val="000000" w:themeColor="text1"/>
          <w:szCs w:val="21"/>
          <w:highlight w:val="none"/>
          <w14:textFill>
            <w14:solidFill>
              <w14:schemeClr w14:val="tx1"/>
            </w14:solidFill>
          </w14:textFill>
        </w:rPr>
        <w:t>或使用印章、签名章</w:t>
      </w:r>
      <w:r>
        <w:rPr>
          <w:rFonts w:hint="eastAsia" w:ascii="宋体" w:hAnsi="宋体" w:cs="宋体"/>
          <w:kern w:val="0"/>
          <w:szCs w:val="21"/>
          <w:highlight w:val="none"/>
        </w:rPr>
        <w:t>）；明确要求投标人加盖单位章之处，必须加盖单位章。 其中，投标函及对投标文件的澄清和说明应加盖投标人单位章，或由投标人的法定代表人或其委托代理人签字（</w:t>
      </w:r>
      <w:r>
        <w:rPr>
          <w:rFonts w:ascii="Garamond" w:hAnsi="Garamond"/>
          <w:color w:val="000000" w:themeColor="text1"/>
          <w:szCs w:val="21"/>
          <w:highlight w:val="none"/>
          <w14:textFill>
            <w14:solidFill>
              <w14:schemeClr w14:val="tx1"/>
            </w14:solidFill>
          </w14:textFill>
        </w:rPr>
        <w:t>或使用印章、签名章</w:t>
      </w:r>
      <w:r>
        <w:rPr>
          <w:rFonts w:hint="eastAsia" w:ascii="宋体" w:hAnsi="宋体" w:cs="宋体"/>
          <w:kern w:val="0"/>
          <w:szCs w:val="21"/>
          <w:highlight w:val="none"/>
        </w:rPr>
        <w:t>）。</w:t>
      </w:r>
    </w:p>
    <w:p w14:paraId="1987FDF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如果投标文件由委托代理人签署，则投标人须提交授权委托书，授权委托书应按 第六章“投标文件格式”的要求出具，并由法定代表人和委托代理人签名（</w:t>
      </w:r>
      <w:r>
        <w:rPr>
          <w:rFonts w:ascii="Garamond" w:hAnsi="Garamond"/>
          <w:color w:val="000000" w:themeColor="text1"/>
          <w:szCs w:val="21"/>
          <w:highlight w:val="none"/>
          <w14:textFill>
            <w14:solidFill>
              <w14:schemeClr w14:val="tx1"/>
            </w14:solidFill>
          </w14:textFill>
        </w:rPr>
        <w:t>或使用印章、签名章</w:t>
      </w:r>
      <w:r>
        <w:rPr>
          <w:rFonts w:hint="eastAsia" w:ascii="宋体" w:hAnsi="宋体" w:cs="宋体"/>
          <w:kern w:val="0"/>
          <w:szCs w:val="21"/>
          <w:highlight w:val="none"/>
        </w:rPr>
        <w:t>）。如果由投标人的法定代表人签署投标文件，则不需提交授权书，但应提供法定代表人身份证明。</w:t>
      </w:r>
    </w:p>
    <w:p w14:paraId="7216462B">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如果由投标人的法定代表人亲自签署投标文件，则投标人须提交法定代表人身份证明，身份证明应符合第六章“投标文件格式”的要求。</w:t>
      </w:r>
    </w:p>
    <w:p w14:paraId="30209ADE">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以联合体形式参与投标的，投标文件由联合体牵头人的法定代表人或其委托代理人按上述规定签署并加盖联合体牵头人单位章。法定代表人授权委托书或法定代表人身份证明须由联合体牵头人按上述规定出具。</w:t>
      </w:r>
    </w:p>
    <w:p w14:paraId="6D288C9C">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投标文件应尽量避免涂改、行间插字或删除。 如果出现上述情况，改动之处应由投标人的法定代表人或其授权的代理人签字（</w:t>
      </w:r>
      <w:r>
        <w:rPr>
          <w:rFonts w:ascii="Garamond" w:hAnsi="Garamond"/>
          <w:color w:val="000000" w:themeColor="text1"/>
          <w:szCs w:val="21"/>
          <w:highlight w:val="none"/>
          <w14:textFill>
            <w14:solidFill>
              <w14:schemeClr w14:val="tx1"/>
            </w14:solidFill>
          </w14:textFill>
        </w:rPr>
        <w:t>或使用印章、签名章</w:t>
      </w:r>
      <w:r>
        <w:rPr>
          <w:rFonts w:hint="eastAsia" w:ascii="宋体" w:hAnsi="宋体" w:cs="宋体"/>
          <w:kern w:val="0"/>
          <w:szCs w:val="21"/>
          <w:highlight w:val="none"/>
        </w:rPr>
        <w:t>）或加盖单位章。</w:t>
      </w:r>
    </w:p>
    <w:p w14:paraId="1FC0544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3.7.4  投标文件正本一份,  副本份数见投标人须知前附表。正本和副本的封面右上角上应清楚地标记“正本”或“副本”字样。投标人应根据投标人须知前附表要求提供电子版文件。当副本和正本不一致或电子版文件和纸质正本文件不一致时，以纸质正本文件为准。</w:t>
      </w:r>
    </w:p>
    <w:p w14:paraId="077874CC">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3.7.5  投标文件的正本与副本应分别装订成册，投标文件规格幅面A4纸（图纸等除外），编制目录并逐页标注连续页码。投标文件不得采用活页夹装订，否则，招标人对由于投标文件装订松散而造成的丢失或其他后果不承担任何责任。投标文件正本应使用不能擦去的墨水书写或打印，并按第六篇“投标文件格式”的要求进行相关人员签字（</w:t>
      </w:r>
      <w:r>
        <w:rPr>
          <w:rFonts w:ascii="Garamond" w:hAnsi="Garamond"/>
          <w:color w:val="000000" w:themeColor="text1"/>
          <w:szCs w:val="21"/>
          <w:highlight w:val="none"/>
          <w14:textFill>
            <w14:solidFill>
              <w14:schemeClr w14:val="tx1"/>
            </w14:solidFill>
          </w14:textFill>
        </w:rPr>
        <w:t>或使用印章、签名章</w:t>
      </w:r>
      <w:r>
        <w:rPr>
          <w:rFonts w:hint="eastAsia" w:ascii="宋体" w:hAnsi="宋体" w:cs="宋体"/>
          <w:kern w:val="0"/>
          <w:szCs w:val="21"/>
          <w:highlight w:val="none"/>
        </w:rPr>
        <w:t>）、盖投标人单位章。</w:t>
      </w:r>
    </w:p>
    <w:p w14:paraId="325F509F">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3.7.6</w:t>
      </w:r>
      <w:r>
        <w:rPr>
          <w:rFonts w:hint="eastAsia" w:ascii="宋体" w:hAnsi="宋体" w:cs="宋体"/>
          <w:kern w:val="0"/>
          <w:szCs w:val="21"/>
          <w:highlight w:val="none"/>
        </w:rPr>
        <w:t>投标文件正本应使用不能擦去的墨水书写或打印，并按第六篇“投标文件格式”的要求进行相关人员签字（</w:t>
      </w:r>
      <w:r>
        <w:rPr>
          <w:rFonts w:ascii="Garamond" w:hAnsi="Garamond"/>
          <w:color w:val="000000" w:themeColor="text1"/>
          <w:szCs w:val="21"/>
          <w:highlight w:val="none"/>
          <w14:textFill>
            <w14:solidFill>
              <w14:schemeClr w14:val="tx1"/>
            </w14:solidFill>
          </w14:textFill>
        </w:rPr>
        <w:t>或使用印章、签名章</w:t>
      </w:r>
      <w:r>
        <w:rPr>
          <w:rFonts w:hint="eastAsia" w:ascii="宋体" w:hAnsi="宋体" w:cs="宋体"/>
          <w:kern w:val="0"/>
          <w:szCs w:val="21"/>
          <w:highlight w:val="none"/>
        </w:rPr>
        <w:t>）、盖投标人单位章。副本可为正本复印件。</w:t>
      </w:r>
    </w:p>
    <w:p w14:paraId="1302C31D">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4.投标</w:t>
      </w:r>
    </w:p>
    <w:p w14:paraId="1488633C">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4.1 投标文件的密封和标识</w:t>
      </w:r>
    </w:p>
    <w:p w14:paraId="52ABE79A">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4.1.1投标文件应采用双信封形式密封。投标文件第一个信封（商务及技术文件）以及第二个信封（报价文件）应分别单独密封包装。商务技术文件的正本与副本应统一密封在一个封套中。报价文件的正本与副本以及投标文件电子版文件（U盘介质）应统一密封在另一个封套中。封套上加盖投标人单位章或由投标人的法定代表人或其委托代理人签字（</w:t>
      </w:r>
      <w:r>
        <w:rPr>
          <w:rFonts w:ascii="Garamond" w:hAnsi="Garamond"/>
          <w:color w:val="000000" w:themeColor="text1"/>
          <w:szCs w:val="21"/>
          <w:highlight w:val="none"/>
          <w14:textFill>
            <w14:solidFill>
              <w14:schemeClr w14:val="tx1"/>
            </w14:solidFill>
          </w14:textFill>
        </w:rPr>
        <w:t>或使用印章、签名章</w:t>
      </w:r>
      <w:r>
        <w:rPr>
          <w:rFonts w:hint="eastAsia" w:ascii="宋体" w:hAnsi="宋体" w:cs="宋体"/>
          <w:kern w:val="0"/>
          <w:szCs w:val="21"/>
          <w:highlight w:val="none"/>
        </w:rPr>
        <w:t>）。</w:t>
      </w:r>
    </w:p>
    <w:p w14:paraId="7E14B5DE">
      <w:pPr>
        <w:spacing w:line="360" w:lineRule="auto"/>
        <w:ind w:firstLine="420" w:firstLineChars="200"/>
        <w:rPr>
          <w:rFonts w:hint="eastAsia" w:ascii="宋体" w:hAnsi="宋体" w:cs="宋体"/>
          <w:kern w:val="0"/>
          <w:szCs w:val="21"/>
          <w:highlight w:val="none"/>
        </w:rPr>
      </w:pPr>
      <w:r>
        <w:rPr>
          <w:rFonts w:ascii="宋体" w:hAnsi="宋体" w:cs="宋体"/>
          <w:kern w:val="0"/>
          <w:szCs w:val="21"/>
          <w:highlight w:val="none"/>
        </w:rPr>
        <w:t xml:space="preserve">4.1.2 </w:t>
      </w:r>
      <w:r>
        <w:rPr>
          <w:rFonts w:hint="eastAsia" w:ascii="宋体" w:hAnsi="宋体" w:cs="宋体"/>
          <w:kern w:val="0"/>
          <w:szCs w:val="21"/>
          <w:highlight w:val="none"/>
        </w:rPr>
        <w:t>投标文件第一个信封（商务及技术文件）、第二个信封（报价文件）封套上应写明的内容见投标人须知前附表。</w:t>
      </w:r>
    </w:p>
    <w:p w14:paraId="6A66C8CA">
      <w:pPr>
        <w:spacing w:line="360" w:lineRule="auto"/>
        <w:ind w:firstLine="420" w:firstLineChars="200"/>
        <w:rPr>
          <w:rFonts w:hint="eastAsia" w:ascii="宋体" w:hAnsi="宋体" w:cs="宋体"/>
          <w:kern w:val="0"/>
          <w:szCs w:val="21"/>
          <w:highlight w:val="none"/>
        </w:rPr>
      </w:pPr>
      <w:r>
        <w:rPr>
          <w:rFonts w:ascii="宋体" w:hAnsi="宋体" w:cs="宋体"/>
          <w:kern w:val="0"/>
          <w:szCs w:val="21"/>
          <w:highlight w:val="none"/>
        </w:rPr>
        <w:t xml:space="preserve">4.1.3 </w:t>
      </w:r>
      <w:r>
        <w:rPr>
          <w:rFonts w:hint="eastAsia" w:ascii="宋体" w:hAnsi="宋体" w:cs="宋体"/>
          <w:kern w:val="0"/>
          <w:szCs w:val="21"/>
          <w:highlight w:val="none"/>
        </w:rPr>
        <w:t xml:space="preserve">未按本章第 </w:t>
      </w:r>
      <w:r>
        <w:rPr>
          <w:rFonts w:ascii="宋体" w:hAnsi="宋体" w:cs="宋体"/>
          <w:kern w:val="0"/>
          <w:szCs w:val="21"/>
          <w:highlight w:val="none"/>
        </w:rPr>
        <w:t xml:space="preserve">4.1.1 </w:t>
      </w:r>
      <w:r>
        <w:rPr>
          <w:rFonts w:hint="eastAsia" w:ascii="宋体" w:hAnsi="宋体" w:cs="宋体"/>
          <w:kern w:val="0"/>
          <w:szCs w:val="21"/>
          <w:highlight w:val="none"/>
        </w:rPr>
        <w:t>项要求密封的投标文件，招标人将予以拒收。</w:t>
      </w:r>
    </w:p>
    <w:p w14:paraId="58BCE346">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4.2 投标文件的递交</w:t>
      </w:r>
    </w:p>
    <w:p w14:paraId="219E0DE1">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4.2.1投标人应在第一章“招标公告”或“投标邀请书”规定的投标截止时间前递交投标文件。</w:t>
      </w:r>
    </w:p>
    <w:p w14:paraId="368139EB">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4.2.2投标人递交投标文件的地点：见第一章“招标公告”或“投标邀请书”。</w:t>
      </w:r>
    </w:p>
    <w:p w14:paraId="48A279A4">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4.2.3除投标人须知前附表另有规定外，投标人所递交的投标文件不予退还。投标人少于3 个的，投标文件当场退还给投标人。</w:t>
      </w:r>
    </w:p>
    <w:p w14:paraId="6ADB07C0">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4.2.5逾期送达的或未送达指定地点的投标文件，招标人将予以拒收。</w:t>
      </w:r>
    </w:p>
    <w:p w14:paraId="1A3841A5">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4.3 投标文件的修改与撤回</w:t>
      </w:r>
    </w:p>
    <w:p w14:paraId="38EC1AD0">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4.3.1本章第4.2.1项规定的投标截止时间前，投标人可以修改或撤回已递交的投标文件，但应以书面形式通知招标人。</w:t>
      </w:r>
    </w:p>
    <w:p w14:paraId="7BB52998">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4.3.2投标人修改或撤回已递交投标文件的书面通知应按照本章第3.7.3项的要求签字或盖章。招标人收到书面通知后，向投标人出具签收凭证。</w:t>
      </w:r>
    </w:p>
    <w:p w14:paraId="08D5954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4.3.3投标人撤回投标文件的，招标人自收到投标人书面撤回通知之日起5日内退还已收取的投标保证金。</w:t>
      </w:r>
    </w:p>
    <w:p w14:paraId="14641795">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4.3.4修改的内容为投标文件的组成部分。修改的投标文件应按照本章第3条、第4条的规定进行编制、密封、标记和递交，并标明“修改”字样。</w:t>
      </w:r>
    </w:p>
    <w:p w14:paraId="2D5FFFF1">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5.开标</w:t>
      </w:r>
    </w:p>
    <w:p w14:paraId="20D22FD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5.1 开标时间和地点</w:t>
      </w:r>
    </w:p>
    <w:p w14:paraId="4BA9A410">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招标人在本章第4.2.1项规定的投标截止时间（开标时间）和投标人须知前附表规定的地点对收到的投标文件第一个信封（商务及技术文件）公开开标，并邀请所有投标人的法定代表人或其委托代理人准时参加。</w:t>
      </w:r>
    </w:p>
    <w:p w14:paraId="6F4775E6">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招标人在投标人须知前附表规定的时间和地点对投标文件第二个信封（报价文件）公开开标，并邀请所有投标人的法定代表人或其委托代理人准时参加。</w:t>
      </w:r>
    </w:p>
    <w:p w14:paraId="77C4F3FE">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投标人若未派法定代表人或委托代理人出席开标活动，视为该投标人默认开标结果。</w:t>
      </w:r>
    </w:p>
    <w:p w14:paraId="39955BD0">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5.2 开标程序</w:t>
      </w:r>
    </w:p>
    <w:p w14:paraId="3373F14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5.2.1 主持人按下列程序对投标文件第一个信封（商务及技术文件）进行开标：</w:t>
      </w:r>
    </w:p>
    <w:p w14:paraId="00BF107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（1）宣布开标纪律；</w:t>
      </w:r>
    </w:p>
    <w:p w14:paraId="5F7B95DB">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（2）公布在投标截止时间前递交投标文件的投标人数量；</w:t>
      </w:r>
    </w:p>
    <w:p w14:paraId="41354122">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（3）由投标人代表检查投标文件的密封情况；</w:t>
      </w:r>
    </w:p>
    <w:p w14:paraId="4E75C5E4">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（4）公布标段名称、投标人名称、投标函中主要内容，并记录在案；</w:t>
      </w:r>
    </w:p>
    <w:p w14:paraId="511D498F">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（5）投标人代表、招标人代表、记录人等有关人员在开标记录上签字确认；</w:t>
      </w:r>
    </w:p>
    <w:p w14:paraId="526AB30C">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（6）开标结束。</w:t>
      </w:r>
    </w:p>
    <w:p w14:paraId="378FD41E">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5.2.2  在投标文件第一个信封（商务及技术文件）开标现场，投标文件第二个信封（报价文件）不予开封。</w:t>
      </w:r>
    </w:p>
    <w:p w14:paraId="5E28FA5A">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5.2.3  招标人将按照本章第 5.1  款规定的时间和地点对投标文件第二个信封（报价文件）进行开标。主持人按下列程序进行开标：</w:t>
      </w:r>
    </w:p>
    <w:p w14:paraId="50A8B86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（1）宣布通过投标文件第一个信封（商务及技术文件）评审结果；</w:t>
      </w:r>
    </w:p>
    <w:p w14:paraId="0E3A4D24">
      <w:pPr>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（2）拆封通过投标文件第一个信封（商务及技术文件）评审的投标文件第二个信封（报价文件），公布标段名称、投标人名称、投标报价及其他内容，并记录在案；</w:t>
      </w:r>
    </w:p>
    <w:p w14:paraId="6DCF9831">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（3）计算并宣布评标基准价；</w:t>
      </w:r>
    </w:p>
    <w:p w14:paraId="1B665A8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（4）将未通过投标文件第一个信封（商务及技术文件）评审的投标文件第二个信封（报价文件）退还给投标人；</w:t>
      </w:r>
    </w:p>
    <w:p w14:paraId="5EB91CB7">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（5）投标人代表、招标人代表、记录人等有关人员在开标记录上签字确认；</w:t>
      </w:r>
    </w:p>
    <w:p w14:paraId="57D2EDDF">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（6）开标结束。</w:t>
      </w:r>
    </w:p>
    <w:p w14:paraId="61C15C51">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5.2.4 在投标文件第二个信封(报价文件)开标现场，招标人将按第三章“评标办法” 规定的原则计算并宣布评标基准价。若招标人发现投标文件出现以下任一情况，其投标报价将不再参加评标基准价的计算:</w:t>
      </w:r>
    </w:p>
    <w:p w14:paraId="5CE6DD9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（1）未在投标函上填写投标总价；</w:t>
      </w:r>
    </w:p>
    <w:p w14:paraId="21EEB741">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（2）投标报价超出招标人公布的最高投标限价 (如有)；</w:t>
      </w:r>
    </w:p>
    <w:p w14:paraId="76C17B26">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（3）投标报价的大写金额无法确定具体数值；</w:t>
      </w:r>
    </w:p>
    <w:p w14:paraId="1C38753A">
      <w:pPr>
        <w:widowControl/>
        <w:spacing w:line="360" w:lineRule="auto"/>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（4）投标函上填写的标段号与投标文件封套上标记的标段号不一致。</w:t>
      </w:r>
    </w:p>
    <w:p w14:paraId="6E4535F1">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如果投标人认为某一标段的评标基准价计算有误，有权在开标现场提出，经招标人当场核实确认之后，可重新宣布评标基准价。开标现场宣布的评标基准价除计算有误经评标委员会修正外，在整个评标期间保持不变，不随任何因素发生变化。</w:t>
      </w:r>
    </w:p>
    <w:p w14:paraId="79C3A977">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5.2.5 在投标文件第一个信封（商务及技术文件）或第二个信封（报价文件）开标过程中，若招标人宣读的内容与投标文件不符，投标人有权在开标现场提出疑问，经招标人当场核查确认之后，可重新宣读其投标文件。若投标人现场未提出疑问，则认为投标人已确认招标人宣读的内容。</w:t>
      </w:r>
    </w:p>
    <w:p w14:paraId="2EF82714">
      <w:pPr>
        <w:spacing w:line="360" w:lineRule="auto"/>
        <w:ind w:firstLine="422" w:firstLineChars="200"/>
        <w:rPr>
          <w:rFonts w:hint="eastAsia" w:ascii="宋体" w:hAnsi="宋体" w:cs="宋体"/>
          <w:b/>
          <w:bCs/>
          <w:kern w:val="0"/>
          <w:szCs w:val="21"/>
          <w:highlight w:val="none"/>
          <w:lang w:val="zh-CN"/>
        </w:rPr>
      </w:pPr>
      <w:r>
        <w:rPr>
          <w:rFonts w:hint="eastAsia" w:ascii="宋体" w:hAnsi="宋体" w:cs="宋体"/>
          <w:b/>
          <w:bCs/>
          <w:kern w:val="0"/>
          <w:szCs w:val="21"/>
          <w:highlight w:val="none"/>
        </w:rPr>
        <w:t>5.3开标异议</w:t>
      </w:r>
    </w:p>
    <w:p w14:paraId="21C11D8C">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投标人对开标有异议的，应在开标现场提出，招标人当场作出答复，并制作记录,有异议的投标人代表、招标人代表、记录人等有关人员在记录上签字确认。</w:t>
      </w:r>
    </w:p>
    <w:p w14:paraId="31A8416E">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6.评标</w:t>
      </w:r>
    </w:p>
    <w:p w14:paraId="09FA6696">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6.1 评标委员会</w:t>
      </w:r>
    </w:p>
    <w:p w14:paraId="31E842E9">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6.1.1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2BAFC229">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6.1.2 评标委员会成员有下列情形之一的，应主动提出回避：</w:t>
      </w:r>
    </w:p>
    <w:p w14:paraId="7CBCDC27">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（1）为负责招标项目监督管理的交通运输主管部门的工作人员；</w:t>
      </w:r>
    </w:p>
    <w:p w14:paraId="50C70E82">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（2）与投标人法定代表人或其委托代理人有近亲属关系；</w:t>
      </w:r>
    </w:p>
    <w:p w14:paraId="3CFDE4D2">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（3）为投标人的工作人员或退休人员；</w:t>
      </w:r>
    </w:p>
    <w:p w14:paraId="78CBA330">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（4）与投标人有其他利害关系，可能影响评标活动公正性；</w:t>
      </w:r>
    </w:p>
    <w:p w14:paraId="2DCF69AE">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（5）在与招标投标有关的活动中有过违法违规行为、曾受过行政处罚或刑事处罚。</w:t>
      </w:r>
    </w:p>
    <w:p w14:paraId="4FF0F38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6.1.3 评标过程中，评标委员会成员有回避事由、擅离职守或因健康等原因不能继续评标的，招标人有权更换。被更换的评标委员会成员作出的评审结论无效，由更换后的评标委员会成员重新进行评审。</w:t>
      </w:r>
    </w:p>
    <w:p w14:paraId="143C2C69">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6.2 评标原则</w:t>
      </w:r>
    </w:p>
    <w:p w14:paraId="68C946EB">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评标活动遵循公平、公正、科学和择优的原则。</w:t>
      </w:r>
    </w:p>
    <w:p w14:paraId="6A0A27B9">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6.3 评标</w:t>
      </w:r>
    </w:p>
    <w:p w14:paraId="41D11AA7">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6.3.1 评标委员会按照第三章“评标办法”规定的方法、评审因素、标准和程序对投标文件进行评审。第三章“评标办法”没有规定的方法、评审因素和标准，不作为评标依据。</w:t>
      </w:r>
    </w:p>
    <w:p w14:paraId="43318EF8">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6.3.2 评标及补救措施</w:t>
      </w:r>
    </w:p>
    <w:p w14:paraId="0F4838DA">
      <w:pPr>
        <w:spacing w:line="360" w:lineRule="auto"/>
        <w:ind w:firstLine="420" w:firstLineChars="200"/>
        <w:rPr>
          <w:rFonts w:hint="eastAsia" w:ascii="宋体" w:hAnsi="宋体" w:eastAsia="宋体" w:cs="宋体"/>
          <w:kern w:val="0"/>
          <w:szCs w:val="21"/>
          <w:highlight w:val="none"/>
          <w:lang w:eastAsia="zh-CN"/>
        </w:rPr>
      </w:pPr>
      <w:r>
        <w:rPr>
          <w:rFonts w:hint="eastAsia" w:ascii="宋体" w:hAnsi="宋体" w:cs="宋体"/>
          <w:kern w:val="0"/>
          <w:szCs w:val="21"/>
          <w:highlight w:val="none"/>
        </w:rPr>
        <w:t>评标委员会按照本章第6.3.1项的规定在电子评标系统上开展评审工作。如果评标过程中出现异常情況, 导致无法继续评审工作的, 可暂停评标, 对原有资料及信息作出妥善保密处理, 待电子评标系统恢复正常之后,应重新组织评审。</w:t>
      </w:r>
      <w:r>
        <w:rPr>
          <w:rFonts w:hint="eastAsia" w:ascii="宋体" w:hAnsi="宋体" w:cs="宋体"/>
          <w:kern w:val="0"/>
          <w:szCs w:val="21"/>
          <w:highlight w:val="none"/>
          <w:lang w:eastAsia="zh-CN"/>
        </w:rPr>
        <w:t>（</w:t>
      </w:r>
      <w:r>
        <w:rPr>
          <w:rFonts w:hint="eastAsia" w:ascii="宋体" w:hAnsi="宋体" w:cs="宋体"/>
          <w:kern w:val="0"/>
          <w:szCs w:val="21"/>
          <w:highlight w:val="none"/>
          <w:lang w:val="en-US" w:eastAsia="zh-CN"/>
        </w:rPr>
        <w:t>本款不适用</w:t>
      </w:r>
      <w:r>
        <w:rPr>
          <w:rFonts w:hint="eastAsia" w:ascii="宋体" w:hAnsi="宋体" w:cs="宋体"/>
          <w:kern w:val="0"/>
          <w:szCs w:val="21"/>
          <w:highlight w:val="none"/>
          <w:lang w:eastAsia="zh-CN"/>
        </w:rPr>
        <w:t>）</w:t>
      </w:r>
    </w:p>
    <w:p w14:paraId="1B00995F">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7.合同授予</w:t>
      </w:r>
    </w:p>
    <w:p w14:paraId="7CD606A0">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7.1 中标候选人公示</w:t>
      </w:r>
    </w:p>
    <w:p w14:paraId="36D7D64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招标人在收到评标报告之日起3日内，按照投标人须知前附表规定的公示媒介和期限公示中标候选人，公示期不得少于3日，公示内容包括：</w:t>
      </w:r>
    </w:p>
    <w:p w14:paraId="2473A66A">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（1）中标候选人排序、名称、投标报价、项目负责人；</w:t>
      </w:r>
    </w:p>
    <w:p w14:paraId="324E07B5">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（2）提出异议的渠道和方式；</w:t>
      </w:r>
    </w:p>
    <w:p w14:paraId="56019E9E">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（3）投标人须知前附表规定公示的其他内容。</w:t>
      </w:r>
    </w:p>
    <w:p w14:paraId="2FEC81EB">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7.2 评标结果异议</w:t>
      </w:r>
    </w:p>
    <w:p w14:paraId="400F20D5">
      <w:pPr>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投标人或其他利害关系人对依法必须进行招标的项目的评标结果有异议的，应在中标候选人公示期间提出。招标人将在收到异议之日起3日内作出答复；作出答复前，将暂停招标投标活动。</w:t>
      </w:r>
    </w:p>
    <w:p w14:paraId="36951F79">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7.3 中标候选人履约能力审查</w:t>
      </w:r>
    </w:p>
    <w:p w14:paraId="3E61CA6E">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中标候选人的经营、财务状况发生较大变化或存在违法行为，招标人认为可能影响其履约能力的，将在发出中标通知书前提请原评标委员会按照招标文件规定的标准和方法进行审查确认。</w:t>
      </w:r>
    </w:p>
    <w:p w14:paraId="04289C94">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7.4 定标</w:t>
      </w:r>
    </w:p>
    <w:p w14:paraId="55B03DBC">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按照投标人须知前附表的规定，招标人或招标人授权的评标委员会依法确定中标人。</w:t>
      </w:r>
    </w:p>
    <w:p w14:paraId="461969E7">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7.5 中标通知</w:t>
      </w:r>
    </w:p>
    <w:p w14:paraId="1B0EDB8F">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在本章第3.3款规定的投标有效期内，招标人以投标人须知前附表规定的形式向中标人发出中标通知书，同时将中标结果通知未中标的投标人。</w:t>
      </w:r>
    </w:p>
    <w:p w14:paraId="3859C7CA">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7.6 中标结果公告</w:t>
      </w:r>
    </w:p>
    <w:p w14:paraId="6F5445C5">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招标人在确定中标人之日起3日内，按照投标人须知前附表规定的公告媒介和期限公告中标结果，公告期不得少于3日。公告内容包括中标人名称、中标价。</w:t>
      </w:r>
    </w:p>
    <w:p w14:paraId="082A5FD1">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7.7 技术成果经济补偿</w:t>
      </w:r>
    </w:p>
    <w:p w14:paraId="0944A92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招标人对符合招标文件规定的未中标人的技术成果进行补偿的, 招标人将按投标人须知前附表规定的标准给予经济补偿, 未中标人在投标文件中声明放弃技术成果经济补偿费的除外。 招标人将于中标通知书发出后30日内向未中标人支付技术成果经济补偿费。</w:t>
      </w:r>
    </w:p>
    <w:p w14:paraId="3A5D9492">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7.8 履约保证金</w:t>
      </w:r>
    </w:p>
    <w:p w14:paraId="65BA9252">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7.8.1 在签订合同前，中标人应按投标人须知前附表规定的形式、金额和招标文件第四章“合同条款及格式”规定的或事先经过招标人书面认可的履约保证金格式向招标人提交履约保证金。除投标人须知前附表另有规定外，履约保证金为签约合同价的</w:t>
      </w:r>
      <w:r>
        <w:rPr>
          <w:rFonts w:ascii="宋体" w:hAnsi="宋体" w:cs="宋体"/>
          <w:kern w:val="0"/>
          <w:szCs w:val="21"/>
          <w:highlight w:val="none"/>
        </w:rPr>
        <w:t>5</w:t>
      </w:r>
      <w:r>
        <w:rPr>
          <w:rFonts w:hint="eastAsia" w:ascii="宋体" w:hAnsi="宋体" w:cs="宋体"/>
          <w:kern w:val="0"/>
          <w:szCs w:val="21"/>
          <w:highlight w:val="none"/>
        </w:rPr>
        <w:t>%。联合体中标的，其履约保证金以联合体各方或联合体中牵头人的名义提交。</w:t>
      </w:r>
    </w:p>
    <w:p w14:paraId="304240F7">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采用银行保函时，应由符合投标人须知前附表规定级别的银行开具，所需的费用由中标人承担，中标人应保证银行保函有效。</w:t>
      </w:r>
    </w:p>
    <w:p w14:paraId="59CA288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7.8.2 中标人不能按本章第7.8.1项要求提交履约保证金的，视为放弃中标，其投标保证金不予退还，给招标人造成的损失超过投标保证金数额的，中标人还应对超过部分予以赔偿。</w:t>
      </w:r>
    </w:p>
    <w:p w14:paraId="4DE7AC13">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7.9 签订合同</w:t>
      </w:r>
    </w:p>
    <w:p w14:paraId="255A07D1">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7.9.1 招标人和中标人应在中标通知书发出之日起30日内，根据招标文件和中标人的投标文件订立书面合同。中标人无正当理由拒签合同，在签订合同时向招标人提出附加条件，或不按照招标文件要求提交履约保证金的，招标人取消其中标资格，其投标保证金不予退还；给招标人造成的损失超过投标保证金数额的，中标人还应对超过部分予以赔偿。</w:t>
      </w:r>
    </w:p>
    <w:p w14:paraId="3CE0E39E">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7.9.2 发出中标通知书后，招标人无正当理由拒签合同，或在签订合同时向中标人提出附加条件的，招标人向中标人退还投标保证金；给中标人造成损失的，还应赔偿损失。</w:t>
      </w:r>
    </w:p>
    <w:p w14:paraId="489A3C3C">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招标人不得以压低咨询服务费、增加工作量、缩短服务期限等作为中标的条件,不得与中标人再行订立背离合同实质性内容的其他协议。</w:t>
      </w:r>
    </w:p>
    <w:p w14:paraId="6AC2B2F2">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7.9.3 签约合同价的确定原则如下：</w:t>
      </w:r>
    </w:p>
    <w:p w14:paraId="3350B506">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（1）按照评标办法规定对投标报价进行修正后，若修正后的最终投标报价小于开标时的投标函大写金额报价，则签订合同时以修正后的最终投标报价为准；</w:t>
      </w:r>
    </w:p>
    <w:p w14:paraId="2BD7141C">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（2）按照评标办法规定对投标报价进行修正后，若修正后的最终投标报价大于开标时的投标函大写金额报价，则签订合同时以开标时的投标函大写金额报价为准，同时按比例修正相应子目的单价或合价。</w:t>
      </w:r>
    </w:p>
    <w:p w14:paraId="3C707FBD">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7.9.4 联合体中标的，联合体各方应共同与招标人签订合同，就中标项目向招标人承担连带责任。</w:t>
      </w:r>
    </w:p>
    <w:p w14:paraId="2C492C41">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 xml:space="preserve">7.9.5 招标人和中标人在签订合同协议书的同时，须按照本招标文件规定的格式和要求签订廉政合同，明确双方在廉政建设方面的权利和义务以及应承担的违约责任。 </w:t>
      </w:r>
    </w:p>
    <w:p w14:paraId="4683D876">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8.纪律和监督</w:t>
      </w:r>
    </w:p>
    <w:p w14:paraId="39C784B2">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8.1 对招标人的纪律要求</w:t>
      </w:r>
    </w:p>
    <w:p w14:paraId="23BBD3C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招标人不得泄露招标投标活动中应保密的情况和资料，不得与投标人串通损害国家利益、社会公共利益或他人合法权益。</w:t>
      </w:r>
    </w:p>
    <w:p w14:paraId="714CFC36">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8.2 对投标人的纪律要求</w:t>
      </w:r>
    </w:p>
    <w:p w14:paraId="3BB782A0">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投标人不得相互串通投标或与招标人串通投标，不得向招标人或评标委员会成员行贿谋取中标，不得以他人名义投标或以其他方式弄虚作假骗取中标；投标人不得以任何方式干扰、影响评标工作。</w:t>
      </w:r>
    </w:p>
    <w:p w14:paraId="422DEC5C">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8.3 对评标委员会成员的纪律要求</w:t>
      </w:r>
    </w:p>
    <w:p w14:paraId="42F8F28B">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评标委员会成员不得收受他人的财物或其他好处，不得向他人透露对投标文件的评审和比较、中标候选人的推荐情况以及评标有关的其他情况。在评标活动中，评标委员会成员应客观、公正地履行职责，遵守职业道德，不得擅离职守，影响评标程序正常进行，不得使用第三章“评标办法”没有规定的评审因素和标准进行评标。</w:t>
      </w:r>
    </w:p>
    <w:p w14:paraId="4EA8E044">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8.4 对与评标活动有关的工作人员的纪律要求</w:t>
      </w:r>
    </w:p>
    <w:p w14:paraId="65DD7463">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与评标活动有关的工作人员不得收受他人的财物或其他好处，不得向他人透露对投标文件的评审和比较、中标候选人的推荐情况以及评标有关的其他情况。在评标活动中，与评标活动有关的工作人员不得擅离职守，影响评标程序正常进行。</w:t>
      </w:r>
    </w:p>
    <w:p w14:paraId="38B4EC12">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8.5 投诉</w:t>
      </w:r>
    </w:p>
    <w:p w14:paraId="27D86A5F">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8.5.1 投标人或其他利害关系人认为招标投标活动不符合法律、行政法规规定的，可以自知道或应当知道之日起10日内向有关行政监督部门投诉。投诉应有明确的请求和必要的证明材料。</w:t>
      </w:r>
    </w:p>
    <w:p w14:paraId="0AB0141A">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监督部门的联系方式见投标人须知前附表。</w:t>
      </w:r>
    </w:p>
    <w:p w14:paraId="622F99FB">
      <w:pPr>
        <w:spacing w:line="360" w:lineRule="auto"/>
        <w:ind w:firstLine="420" w:firstLineChars="200"/>
        <w:rPr>
          <w:rFonts w:hint="eastAsia" w:ascii="宋体" w:hAnsi="宋体" w:cs="宋体"/>
          <w:kern w:val="0"/>
          <w:szCs w:val="21"/>
          <w:highlight w:val="none"/>
        </w:rPr>
      </w:pPr>
      <w:r>
        <w:rPr>
          <w:rFonts w:hint="eastAsia" w:ascii="宋体" w:hAnsi="宋体" w:cs="宋体"/>
          <w:kern w:val="0"/>
          <w:szCs w:val="21"/>
          <w:highlight w:val="none"/>
        </w:rPr>
        <w:t>8.5.2 投标人或其他利害关系人对招标文件、开标和评标结果提出投诉的，应按照本章第2.4款、第5.3款和第7.2款的规定先向招标人提出异议。异议答复期间不计算在第8.5.1项规定的期限内。</w:t>
      </w:r>
    </w:p>
    <w:p w14:paraId="5BE3CC05">
      <w:pPr>
        <w:spacing w:line="360" w:lineRule="auto"/>
        <w:ind w:firstLine="422" w:firstLineChars="200"/>
        <w:rPr>
          <w:rFonts w:hint="eastAsia" w:ascii="宋体" w:hAnsi="宋体" w:cs="宋体"/>
          <w:b/>
          <w:bCs/>
          <w:kern w:val="0"/>
          <w:szCs w:val="21"/>
          <w:highlight w:val="none"/>
        </w:rPr>
      </w:pPr>
      <w:r>
        <w:rPr>
          <w:rFonts w:hint="eastAsia" w:ascii="宋体" w:hAnsi="宋体" w:cs="宋体"/>
          <w:b/>
          <w:bCs/>
          <w:kern w:val="0"/>
          <w:szCs w:val="21"/>
          <w:highlight w:val="none"/>
        </w:rPr>
        <w:t>9.需要补充的其他内容</w:t>
      </w:r>
    </w:p>
    <w:p w14:paraId="653E023A">
      <w:pPr>
        <w:spacing w:line="360" w:lineRule="auto"/>
        <w:ind w:firstLine="420" w:firstLineChars="200"/>
        <w:rPr>
          <w:rFonts w:hint="eastAsia" w:ascii="宋体" w:hAnsi="宋体" w:eastAsia="宋体" w:cs="宋体"/>
          <w:kern w:val="0"/>
          <w:szCs w:val="21"/>
          <w:highlight w:val="none"/>
        </w:rPr>
      </w:pPr>
      <w:r>
        <w:rPr>
          <w:rFonts w:hint="eastAsia" w:ascii="宋体" w:hAnsi="宋体" w:cs="宋体"/>
          <w:kern w:val="0"/>
          <w:szCs w:val="21"/>
          <w:highlight w:val="none"/>
        </w:rPr>
        <w:t>9.1 自购买招标文件之日起，投标人应保证其提供的联系方式（电话、传真、电子邮件）一直有效，以便及时收到招标人发出的函件(招标文件的澄清、修改等)，并应及时向招标人反馈信息，否则</w:t>
      </w:r>
      <w:r>
        <w:rPr>
          <w:rFonts w:hint="eastAsia" w:ascii="宋体" w:hAnsi="宋体" w:eastAsia="宋体" w:cs="宋体"/>
          <w:kern w:val="0"/>
          <w:szCs w:val="21"/>
          <w:highlight w:val="none"/>
        </w:rPr>
        <w:t>招标人不承担由此引起的一切后果。</w:t>
      </w:r>
    </w:p>
    <w:p w14:paraId="59204F9C">
      <w:pPr>
        <w:spacing w:line="360" w:lineRule="auto"/>
        <w:ind w:firstLine="420" w:firstLineChars="200"/>
        <w:rPr>
          <w:rFonts w:hint="eastAsia" w:ascii="宋体" w:hAnsi="宋体" w:eastAsia="宋体" w:cs="宋体"/>
          <w:kern w:val="0"/>
          <w:szCs w:val="21"/>
          <w:highlight w:val="none"/>
        </w:rPr>
        <w:sectPr>
          <w:pgSz w:w="11906" w:h="16838"/>
          <w:pgMar w:top="1418" w:right="1247" w:bottom="1418" w:left="1418" w:header="851" w:footer="680" w:gutter="0"/>
          <w:pgNumType w:fmt="decimal"/>
          <w:cols w:space="720" w:num="1"/>
          <w:docGrid w:linePitch="312" w:charSpace="0"/>
        </w:sectPr>
      </w:pPr>
      <w:r>
        <w:rPr>
          <w:rFonts w:hint="eastAsia" w:ascii="宋体" w:hAnsi="宋体" w:eastAsia="宋体" w:cs="宋体"/>
          <w:kern w:val="0"/>
          <w:szCs w:val="21"/>
          <w:highlight w:val="none"/>
        </w:rPr>
        <w:t>需要补充的其他内容：见投标人须知前附表。</w:t>
      </w:r>
    </w:p>
    <w:p w14:paraId="447E10BD">
      <w:pPr>
        <w:spacing w:line="360" w:lineRule="auto"/>
        <w:rPr>
          <w:rFonts w:ascii="Garamond" w:hAnsi="Garamond"/>
          <w:color w:val="000000" w:themeColor="text1"/>
          <w:highlight w:val="none"/>
          <w14:textFill>
            <w14:solidFill>
              <w14:schemeClr w14:val="tx1"/>
            </w14:solidFill>
          </w14:textFill>
        </w:rPr>
      </w:pPr>
      <w:bookmarkStart w:id="75" w:name="_Toc353197095"/>
    </w:p>
    <w:p w14:paraId="1AA733D3">
      <w:pPr>
        <w:rPr>
          <w:rFonts w:ascii="Garamond" w:hAnsi="Garamond"/>
          <w:color w:val="000000" w:themeColor="text1"/>
          <w:highlight w:val="none"/>
          <w14:textFill>
            <w14:solidFill>
              <w14:schemeClr w14:val="tx1"/>
            </w14:solidFill>
          </w14:textFill>
        </w:rPr>
      </w:pPr>
    </w:p>
    <w:p w14:paraId="0780A5A1">
      <w:pPr>
        <w:rPr>
          <w:rFonts w:ascii="Garamond" w:hAnsi="Garamond"/>
          <w:color w:val="000000" w:themeColor="text1"/>
          <w:highlight w:val="none"/>
          <w14:textFill>
            <w14:solidFill>
              <w14:schemeClr w14:val="tx1"/>
            </w14:solidFill>
          </w14:textFill>
        </w:rPr>
      </w:pPr>
    </w:p>
    <w:p w14:paraId="0C8859BF">
      <w:pPr>
        <w:rPr>
          <w:rFonts w:ascii="Garamond" w:hAnsi="Garamond"/>
          <w:color w:val="000000" w:themeColor="text1"/>
          <w:highlight w:val="none"/>
          <w14:textFill>
            <w14:solidFill>
              <w14:schemeClr w14:val="tx1"/>
            </w14:solidFill>
          </w14:textFill>
        </w:rPr>
      </w:pPr>
    </w:p>
    <w:p w14:paraId="56636484">
      <w:pPr>
        <w:rPr>
          <w:rFonts w:ascii="Garamond" w:hAnsi="Garamond"/>
          <w:color w:val="000000" w:themeColor="text1"/>
          <w:highlight w:val="none"/>
          <w14:textFill>
            <w14:solidFill>
              <w14:schemeClr w14:val="tx1"/>
            </w14:solidFill>
          </w14:textFill>
        </w:rPr>
      </w:pPr>
    </w:p>
    <w:p w14:paraId="73593175">
      <w:pPr>
        <w:rPr>
          <w:rFonts w:ascii="Garamond" w:hAnsi="Garamond"/>
          <w:color w:val="000000" w:themeColor="text1"/>
          <w:highlight w:val="none"/>
          <w14:textFill>
            <w14:solidFill>
              <w14:schemeClr w14:val="tx1"/>
            </w14:solidFill>
          </w14:textFill>
        </w:rPr>
      </w:pPr>
    </w:p>
    <w:p w14:paraId="3099136B">
      <w:pPr>
        <w:rPr>
          <w:rFonts w:ascii="Garamond" w:hAnsi="Garamond"/>
          <w:color w:val="000000" w:themeColor="text1"/>
          <w:highlight w:val="none"/>
          <w14:textFill>
            <w14:solidFill>
              <w14:schemeClr w14:val="tx1"/>
            </w14:solidFill>
          </w14:textFill>
        </w:rPr>
      </w:pPr>
    </w:p>
    <w:p w14:paraId="0BB4AFA5">
      <w:pPr>
        <w:rPr>
          <w:rFonts w:ascii="Garamond" w:hAnsi="Garamond"/>
          <w:color w:val="000000" w:themeColor="text1"/>
          <w:highlight w:val="none"/>
          <w14:textFill>
            <w14:solidFill>
              <w14:schemeClr w14:val="tx1"/>
            </w14:solidFill>
          </w14:textFill>
        </w:rPr>
      </w:pPr>
    </w:p>
    <w:p w14:paraId="0448E233">
      <w:pPr>
        <w:rPr>
          <w:rFonts w:ascii="Garamond" w:hAnsi="Garamond"/>
          <w:color w:val="000000" w:themeColor="text1"/>
          <w:highlight w:val="none"/>
          <w14:textFill>
            <w14:solidFill>
              <w14:schemeClr w14:val="tx1"/>
            </w14:solidFill>
          </w14:textFill>
        </w:rPr>
      </w:pPr>
    </w:p>
    <w:p w14:paraId="482C1504">
      <w:pPr>
        <w:rPr>
          <w:rFonts w:ascii="Garamond" w:hAnsi="Garamond"/>
          <w:color w:val="000000" w:themeColor="text1"/>
          <w:highlight w:val="none"/>
          <w14:textFill>
            <w14:solidFill>
              <w14:schemeClr w14:val="tx1"/>
            </w14:solidFill>
          </w14:textFill>
        </w:rPr>
      </w:pPr>
    </w:p>
    <w:p w14:paraId="71B6BEBC">
      <w:pPr>
        <w:rPr>
          <w:rFonts w:ascii="Garamond" w:hAnsi="Garamond"/>
          <w:color w:val="000000" w:themeColor="text1"/>
          <w:highlight w:val="none"/>
          <w14:textFill>
            <w14:solidFill>
              <w14:schemeClr w14:val="tx1"/>
            </w14:solidFill>
          </w14:textFill>
        </w:rPr>
      </w:pPr>
    </w:p>
    <w:p w14:paraId="5542CA76">
      <w:pPr>
        <w:rPr>
          <w:rFonts w:ascii="Garamond" w:hAnsi="Garamond"/>
          <w:color w:val="000000" w:themeColor="text1"/>
          <w:highlight w:val="none"/>
          <w14:textFill>
            <w14:solidFill>
              <w14:schemeClr w14:val="tx1"/>
            </w14:solidFill>
          </w14:textFill>
        </w:rPr>
      </w:pPr>
    </w:p>
    <w:p w14:paraId="4F9814EF">
      <w:pPr>
        <w:rPr>
          <w:rFonts w:ascii="Garamond" w:hAnsi="Garamond"/>
          <w:color w:val="000000" w:themeColor="text1"/>
          <w:highlight w:val="none"/>
          <w14:textFill>
            <w14:solidFill>
              <w14:schemeClr w14:val="tx1"/>
            </w14:solidFill>
          </w14:textFill>
        </w:rPr>
      </w:pPr>
    </w:p>
    <w:p w14:paraId="45E75EA9">
      <w:pPr>
        <w:rPr>
          <w:rFonts w:ascii="Garamond" w:hAnsi="Garamond"/>
          <w:color w:val="000000" w:themeColor="text1"/>
          <w:highlight w:val="none"/>
          <w14:textFill>
            <w14:solidFill>
              <w14:schemeClr w14:val="tx1"/>
            </w14:solidFill>
          </w14:textFill>
        </w:rPr>
      </w:pPr>
    </w:p>
    <w:p w14:paraId="7EB549F7">
      <w:pPr>
        <w:pStyle w:val="2"/>
        <w:spacing w:before="120" w:beforeLines="50" w:after="120" w:afterLines="50" w:line="240" w:lineRule="auto"/>
        <w:jc w:val="center"/>
        <w:rPr>
          <w:rFonts w:ascii="Garamond" w:hAnsi="Garamond"/>
          <w:bCs w:val="0"/>
          <w:color w:val="000000" w:themeColor="text1"/>
          <w:sz w:val="48"/>
          <w:szCs w:val="48"/>
          <w:highlight w:val="none"/>
          <w14:textFill>
            <w14:solidFill>
              <w14:schemeClr w14:val="tx1"/>
            </w14:solidFill>
          </w14:textFill>
        </w:rPr>
      </w:pPr>
      <w:r>
        <w:rPr>
          <w:rFonts w:ascii="Garamond" w:hAnsi="Garamond"/>
          <w:bCs w:val="0"/>
          <w:color w:val="000000" w:themeColor="text1"/>
          <w:sz w:val="48"/>
          <w:szCs w:val="48"/>
          <w:highlight w:val="none"/>
          <w14:textFill>
            <w14:solidFill>
              <w14:schemeClr w14:val="tx1"/>
            </w14:solidFill>
          </w14:textFill>
        </w:rPr>
        <w:t>第三章  评标办法</w:t>
      </w:r>
      <w:bookmarkEnd w:id="75"/>
    </w:p>
    <w:p w14:paraId="11815F03">
      <w:pPr>
        <w:ind w:firstLine="480"/>
        <w:jc w:val="right"/>
        <w:rPr>
          <w:rFonts w:ascii="Garamond" w:hAnsi="Garamond"/>
          <w:color w:val="000000" w:themeColor="text1"/>
          <w:sz w:val="24"/>
          <w:highlight w:val="none"/>
          <w14:textFill>
            <w14:solidFill>
              <w14:schemeClr w14:val="tx1"/>
            </w14:solidFill>
          </w14:textFill>
        </w:rPr>
      </w:pPr>
    </w:p>
    <w:p w14:paraId="7A28A64C">
      <w:pPr>
        <w:ind w:firstLine="480"/>
        <w:jc w:val="right"/>
        <w:rPr>
          <w:rFonts w:ascii="Garamond" w:hAnsi="Garamond"/>
          <w:color w:val="000000" w:themeColor="text1"/>
          <w:sz w:val="24"/>
          <w:highlight w:val="none"/>
          <w14:textFill>
            <w14:solidFill>
              <w14:schemeClr w14:val="tx1"/>
            </w14:solidFill>
          </w14:textFill>
        </w:rPr>
      </w:pPr>
    </w:p>
    <w:p w14:paraId="1DC8EEC6">
      <w:pPr>
        <w:ind w:firstLine="480"/>
        <w:jc w:val="right"/>
        <w:rPr>
          <w:rFonts w:ascii="Garamond" w:hAnsi="Garamond"/>
          <w:color w:val="000000" w:themeColor="text1"/>
          <w:sz w:val="24"/>
          <w:highlight w:val="none"/>
          <w14:textFill>
            <w14:solidFill>
              <w14:schemeClr w14:val="tx1"/>
            </w14:solidFill>
          </w14:textFill>
        </w:rPr>
      </w:pPr>
    </w:p>
    <w:p w14:paraId="3DF7B688">
      <w:pPr>
        <w:ind w:firstLine="480"/>
        <w:jc w:val="right"/>
        <w:rPr>
          <w:rFonts w:ascii="Garamond" w:hAnsi="Garamond"/>
          <w:color w:val="000000" w:themeColor="text1"/>
          <w:sz w:val="24"/>
          <w:highlight w:val="none"/>
          <w14:textFill>
            <w14:solidFill>
              <w14:schemeClr w14:val="tx1"/>
            </w14:solidFill>
          </w14:textFill>
        </w:rPr>
      </w:pPr>
    </w:p>
    <w:p w14:paraId="6AA9F520">
      <w:pPr>
        <w:ind w:firstLine="480"/>
        <w:jc w:val="right"/>
        <w:rPr>
          <w:rFonts w:ascii="Garamond" w:hAnsi="Garamond"/>
          <w:color w:val="000000" w:themeColor="text1"/>
          <w:sz w:val="24"/>
          <w:highlight w:val="none"/>
          <w14:textFill>
            <w14:solidFill>
              <w14:schemeClr w14:val="tx1"/>
            </w14:solidFill>
          </w14:textFill>
        </w:rPr>
      </w:pPr>
    </w:p>
    <w:p w14:paraId="1E62BBB8">
      <w:pPr>
        <w:ind w:firstLine="480"/>
        <w:jc w:val="right"/>
        <w:rPr>
          <w:rFonts w:ascii="Garamond" w:hAnsi="Garamond"/>
          <w:color w:val="000000" w:themeColor="text1"/>
          <w:sz w:val="24"/>
          <w:highlight w:val="none"/>
          <w14:textFill>
            <w14:solidFill>
              <w14:schemeClr w14:val="tx1"/>
            </w14:solidFill>
          </w14:textFill>
        </w:rPr>
      </w:pPr>
    </w:p>
    <w:p w14:paraId="21ADD2E6">
      <w:pPr>
        <w:ind w:firstLine="480"/>
        <w:jc w:val="right"/>
        <w:rPr>
          <w:rFonts w:ascii="Garamond" w:hAnsi="Garamond"/>
          <w:color w:val="000000" w:themeColor="text1"/>
          <w:sz w:val="24"/>
          <w:highlight w:val="none"/>
          <w14:textFill>
            <w14:solidFill>
              <w14:schemeClr w14:val="tx1"/>
            </w14:solidFill>
          </w14:textFill>
        </w:rPr>
      </w:pPr>
    </w:p>
    <w:p w14:paraId="5E86D03E">
      <w:pPr>
        <w:ind w:firstLine="480"/>
        <w:jc w:val="right"/>
        <w:rPr>
          <w:rFonts w:ascii="Garamond" w:hAnsi="Garamond"/>
          <w:color w:val="000000" w:themeColor="text1"/>
          <w:sz w:val="24"/>
          <w:highlight w:val="none"/>
          <w14:textFill>
            <w14:solidFill>
              <w14:schemeClr w14:val="tx1"/>
            </w14:solidFill>
          </w14:textFill>
        </w:rPr>
      </w:pPr>
    </w:p>
    <w:p w14:paraId="6B0BF981">
      <w:pPr>
        <w:ind w:firstLine="480"/>
        <w:jc w:val="right"/>
        <w:rPr>
          <w:rFonts w:ascii="Garamond" w:hAnsi="Garamond"/>
          <w:color w:val="000000" w:themeColor="text1"/>
          <w:sz w:val="24"/>
          <w:highlight w:val="none"/>
          <w14:textFill>
            <w14:solidFill>
              <w14:schemeClr w14:val="tx1"/>
            </w14:solidFill>
          </w14:textFill>
        </w:rPr>
      </w:pPr>
    </w:p>
    <w:p w14:paraId="41896CEC">
      <w:pPr>
        <w:ind w:firstLine="480"/>
        <w:jc w:val="right"/>
        <w:rPr>
          <w:rFonts w:ascii="Garamond" w:hAnsi="Garamond"/>
          <w:color w:val="000000" w:themeColor="text1"/>
          <w:sz w:val="24"/>
          <w:highlight w:val="none"/>
          <w14:textFill>
            <w14:solidFill>
              <w14:schemeClr w14:val="tx1"/>
            </w14:solidFill>
          </w14:textFill>
        </w:rPr>
      </w:pPr>
    </w:p>
    <w:p w14:paraId="4B0F455D">
      <w:pPr>
        <w:ind w:firstLine="480"/>
        <w:jc w:val="right"/>
        <w:rPr>
          <w:rFonts w:ascii="Garamond" w:hAnsi="Garamond"/>
          <w:color w:val="000000" w:themeColor="text1"/>
          <w:sz w:val="24"/>
          <w:highlight w:val="none"/>
          <w14:textFill>
            <w14:solidFill>
              <w14:schemeClr w14:val="tx1"/>
            </w14:solidFill>
          </w14:textFill>
        </w:rPr>
      </w:pPr>
    </w:p>
    <w:p w14:paraId="012400F4">
      <w:pPr>
        <w:ind w:firstLine="480"/>
        <w:jc w:val="right"/>
        <w:rPr>
          <w:rFonts w:ascii="Garamond" w:hAnsi="Garamond"/>
          <w:color w:val="000000" w:themeColor="text1"/>
          <w:sz w:val="24"/>
          <w:highlight w:val="none"/>
          <w14:textFill>
            <w14:solidFill>
              <w14:schemeClr w14:val="tx1"/>
            </w14:solidFill>
          </w14:textFill>
        </w:rPr>
      </w:pPr>
    </w:p>
    <w:p w14:paraId="0F49F24F">
      <w:pPr>
        <w:ind w:firstLine="480"/>
        <w:jc w:val="right"/>
        <w:rPr>
          <w:rFonts w:ascii="Garamond" w:hAnsi="Garamond"/>
          <w:color w:val="000000" w:themeColor="text1"/>
          <w:sz w:val="24"/>
          <w:highlight w:val="none"/>
          <w14:textFill>
            <w14:solidFill>
              <w14:schemeClr w14:val="tx1"/>
            </w14:solidFill>
          </w14:textFill>
        </w:rPr>
      </w:pPr>
    </w:p>
    <w:p w14:paraId="5A961FE4">
      <w:pPr>
        <w:ind w:firstLine="480"/>
        <w:jc w:val="right"/>
        <w:rPr>
          <w:rFonts w:ascii="Garamond" w:hAnsi="Garamond"/>
          <w:color w:val="000000" w:themeColor="text1"/>
          <w:sz w:val="24"/>
          <w:highlight w:val="none"/>
          <w14:textFill>
            <w14:solidFill>
              <w14:schemeClr w14:val="tx1"/>
            </w14:solidFill>
          </w14:textFill>
        </w:rPr>
      </w:pPr>
    </w:p>
    <w:p w14:paraId="6702F3A1">
      <w:pPr>
        <w:ind w:firstLine="480"/>
        <w:jc w:val="right"/>
        <w:rPr>
          <w:rFonts w:ascii="Garamond" w:hAnsi="Garamond"/>
          <w:color w:val="000000" w:themeColor="text1"/>
          <w:sz w:val="24"/>
          <w:highlight w:val="none"/>
          <w14:textFill>
            <w14:solidFill>
              <w14:schemeClr w14:val="tx1"/>
            </w14:solidFill>
          </w14:textFill>
        </w:rPr>
      </w:pPr>
    </w:p>
    <w:p w14:paraId="29B11D38">
      <w:pPr>
        <w:ind w:firstLine="480"/>
        <w:jc w:val="right"/>
        <w:rPr>
          <w:rFonts w:ascii="Garamond" w:hAnsi="Garamond"/>
          <w:color w:val="000000" w:themeColor="text1"/>
          <w:sz w:val="24"/>
          <w:highlight w:val="none"/>
          <w14:textFill>
            <w14:solidFill>
              <w14:schemeClr w14:val="tx1"/>
            </w14:solidFill>
          </w14:textFill>
        </w:rPr>
      </w:pPr>
    </w:p>
    <w:p w14:paraId="44670A26">
      <w:pPr>
        <w:ind w:firstLine="480"/>
        <w:jc w:val="right"/>
        <w:rPr>
          <w:rFonts w:ascii="Garamond" w:hAnsi="Garamond"/>
          <w:color w:val="000000" w:themeColor="text1"/>
          <w:sz w:val="24"/>
          <w:highlight w:val="none"/>
          <w14:textFill>
            <w14:solidFill>
              <w14:schemeClr w14:val="tx1"/>
            </w14:solidFill>
          </w14:textFill>
        </w:rPr>
      </w:pPr>
    </w:p>
    <w:p w14:paraId="5CDCB973">
      <w:pPr>
        <w:ind w:firstLine="480"/>
        <w:jc w:val="right"/>
        <w:rPr>
          <w:rFonts w:ascii="Garamond" w:hAnsi="Garamond"/>
          <w:color w:val="000000" w:themeColor="text1"/>
          <w:sz w:val="24"/>
          <w:highlight w:val="none"/>
          <w14:textFill>
            <w14:solidFill>
              <w14:schemeClr w14:val="tx1"/>
            </w14:solidFill>
          </w14:textFill>
        </w:rPr>
      </w:pPr>
    </w:p>
    <w:p w14:paraId="7FE4CF5B">
      <w:pPr>
        <w:ind w:firstLine="480"/>
        <w:jc w:val="right"/>
        <w:rPr>
          <w:rFonts w:ascii="Garamond" w:hAnsi="Garamond"/>
          <w:color w:val="000000" w:themeColor="text1"/>
          <w:sz w:val="24"/>
          <w:highlight w:val="none"/>
          <w14:textFill>
            <w14:solidFill>
              <w14:schemeClr w14:val="tx1"/>
            </w14:solidFill>
          </w14:textFill>
        </w:rPr>
      </w:pPr>
    </w:p>
    <w:p w14:paraId="5A189C11">
      <w:pPr>
        <w:ind w:firstLine="480"/>
        <w:jc w:val="right"/>
        <w:rPr>
          <w:rFonts w:ascii="Garamond" w:hAnsi="Garamond"/>
          <w:color w:val="000000" w:themeColor="text1"/>
          <w:sz w:val="24"/>
          <w:highlight w:val="none"/>
          <w14:textFill>
            <w14:solidFill>
              <w14:schemeClr w14:val="tx1"/>
            </w14:solidFill>
          </w14:textFill>
        </w:rPr>
      </w:pPr>
    </w:p>
    <w:p w14:paraId="44B0659E">
      <w:pPr>
        <w:ind w:firstLine="480"/>
        <w:jc w:val="right"/>
        <w:rPr>
          <w:rFonts w:ascii="Garamond" w:hAnsi="Garamond"/>
          <w:color w:val="000000" w:themeColor="text1"/>
          <w:sz w:val="24"/>
          <w:highlight w:val="none"/>
          <w14:textFill>
            <w14:solidFill>
              <w14:schemeClr w14:val="tx1"/>
            </w14:solidFill>
          </w14:textFill>
        </w:rPr>
      </w:pPr>
    </w:p>
    <w:p w14:paraId="657AAF26">
      <w:pPr>
        <w:jc w:val="center"/>
        <w:rPr>
          <w:rFonts w:ascii="Garamond" w:hAnsi="Garamond"/>
          <w:b/>
          <w:color w:val="000000" w:themeColor="text1"/>
          <w:sz w:val="32"/>
          <w:szCs w:val="32"/>
          <w:highlight w:val="none"/>
          <w14:textFill>
            <w14:solidFill>
              <w14:schemeClr w14:val="tx1"/>
            </w14:solidFill>
          </w14:textFill>
        </w:rPr>
        <w:sectPr>
          <w:pgSz w:w="11906" w:h="16838"/>
          <w:pgMar w:top="1417" w:right="1247" w:bottom="1417" w:left="1417" w:header="851" w:footer="680" w:gutter="0"/>
          <w:pgNumType w:fmt="decimal"/>
          <w:cols w:space="0" w:num="1"/>
          <w:docGrid w:linePitch="312" w:charSpace="0"/>
        </w:sectPr>
      </w:pPr>
    </w:p>
    <w:p w14:paraId="7DAC5A5C">
      <w:pPr>
        <w:jc w:val="center"/>
        <w:rPr>
          <w:rFonts w:ascii="Garamond" w:hAnsi="Garamond"/>
          <w:b/>
          <w:color w:val="000000" w:themeColor="text1"/>
          <w:sz w:val="32"/>
          <w:szCs w:val="32"/>
          <w:highlight w:val="none"/>
          <w14:textFill>
            <w14:solidFill>
              <w14:schemeClr w14:val="tx1"/>
            </w14:solidFill>
          </w14:textFill>
        </w:rPr>
      </w:pPr>
      <w:r>
        <w:rPr>
          <w:rFonts w:ascii="Garamond" w:hAnsi="Garamond"/>
          <w:b/>
          <w:color w:val="000000" w:themeColor="text1"/>
          <w:sz w:val="32"/>
          <w:szCs w:val="32"/>
          <w:highlight w:val="none"/>
          <w14:textFill>
            <w14:solidFill>
              <w14:schemeClr w14:val="tx1"/>
            </w14:solidFill>
          </w14:textFill>
        </w:rPr>
        <w:t>第三章  评标办法（综合评估法）</w:t>
      </w:r>
    </w:p>
    <w:p w14:paraId="59E69A2F">
      <w:pPr>
        <w:pStyle w:val="115"/>
        <w:spacing w:before="120" w:after="120" w:afterLines="50"/>
        <w:jc w:val="center"/>
        <w:rPr>
          <w:rFonts w:ascii="Garamond" w:hAnsi="Garamond" w:eastAsia="宋体" w:cs="Times New Roman"/>
          <w:b/>
          <w:color w:val="000000" w:themeColor="text1"/>
          <w:highlight w:val="none"/>
          <w14:textFill>
            <w14:solidFill>
              <w14:schemeClr w14:val="tx1"/>
            </w14:solidFill>
          </w14:textFill>
        </w:rPr>
      </w:pPr>
      <w:r>
        <w:rPr>
          <w:rFonts w:ascii="Garamond" w:hAnsi="Garamond" w:eastAsia="宋体" w:cs="Times New Roman"/>
          <w:b/>
          <w:color w:val="000000" w:themeColor="text1"/>
          <w:highlight w:val="none"/>
          <w14:textFill>
            <w14:solidFill>
              <w14:schemeClr w14:val="tx1"/>
            </w14:solidFill>
          </w14:textFill>
        </w:rPr>
        <w:t>评标办法前附表</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311"/>
        <w:gridCol w:w="7157"/>
      </w:tblGrid>
      <w:tr w14:paraId="08F3F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1955" w:type="dxa"/>
            <w:gridSpan w:val="2"/>
            <w:vAlign w:val="center"/>
          </w:tcPr>
          <w:p w14:paraId="29488550">
            <w:pPr>
              <w:adjustRightInd w:val="0"/>
              <w:jc w:val="center"/>
              <w:textAlignment w:val="baseline"/>
              <w:rPr>
                <w:rFonts w:ascii="Garamond" w:hAnsi="Garamond"/>
                <w:b/>
                <w:color w:val="000000" w:themeColor="text1"/>
                <w:sz w:val="24"/>
                <w:highlight w:val="none"/>
                <w14:textFill>
                  <w14:solidFill>
                    <w14:schemeClr w14:val="tx1"/>
                  </w14:solidFill>
                </w14:textFill>
              </w:rPr>
            </w:pPr>
            <w:r>
              <w:rPr>
                <w:rFonts w:ascii="Garamond" w:hAnsi="Garamond"/>
                <w:b/>
                <w:color w:val="000000" w:themeColor="text1"/>
                <w:sz w:val="24"/>
                <w:highlight w:val="none"/>
                <w14:textFill>
                  <w14:solidFill>
                    <w14:schemeClr w14:val="tx1"/>
                  </w14:solidFill>
                </w14:textFill>
              </w:rPr>
              <w:t>条款号</w:t>
            </w:r>
          </w:p>
        </w:tc>
        <w:tc>
          <w:tcPr>
            <w:tcW w:w="7157" w:type="dxa"/>
            <w:vAlign w:val="center"/>
          </w:tcPr>
          <w:p w14:paraId="4B7BDA43">
            <w:pPr>
              <w:adjustRightInd w:val="0"/>
              <w:jc w:val="center"/>
              <w:textAlignment w:val="baseline"/>
              <w:rPr>
                <w:rFonts w:ascii="Garamond" w:hAnsi="Garamond"/>
                <w:b/>
                <w:color w:val="000000" w:themeColor="text1"/>
                <w:sz w:val="24"/>
                <w:highlight w:val="none"/>
                <w14:textFill>
                  <w14:solidFill>
                    <w14:schemeClr w14:val="tx1"/>
                  </w14:solidFill>
                </w14:textFill>
              </w:rPr>
            </w:pPr>
            <w:r>
              <w:rPr>
                <w:rFonts w:ascii="Garamond" w:hAnsi="Garamond"/>
                <w:b/>
                <w:color w:val="000000" w:themeColor="text1"/>
                <w:sz w:val="24"/>
                <w:highlight w:val="none"/>
                <w14:textFill>
                  <w14:solidFill>
                    <w14:schemeClr w14:val="tx1"/>
                  </w14:solidFill>
                </w14:textFill>
              </w:rPr>
              <w:t>评审因素与评审标准</w:t>
            </w:r>
          </w:p>
        </w:tc>
      </w:tr>
      <w:tr w14:paraId="11F03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4" w:type="dxa"/>
            <w:vAlign w:val="center"/>
          </w:tcPr>
          <w:p w14:paraId="1A692175">
            <w:pPr>
              <w:jc w:val="center"/>
              <w:textAlignment w:val="baseline"/>
              <w:rPr>
                <w:rFonts w:ascii="Garamond" w:hAnsi="Garamond"/>
                <w:b/>
                <w:color w:val="000000" w:themeColor="text1"/>
                <w:szCs w:val="21"/>
                <w:highlight w:val="none"/>
                <w14:textFill>
                  <w14:solidFill>
                    <w14:schemeClr w14:val="tx1"/>
                  </w14:solidFill>
                </w14:textFill>
              </w:rPr>
            </w:pPr>
            <w:r>
              <w:rPr>
                <w:rFonts w:hint="eastAsia" w:ascii="Garamond" w:hAnsi="Garamond"/>
                <w:b/>
                <w:color w:val="000000" w:themeColor="text1"/>
                <w:szCs w:val="21"/>
                <w:highlight w:val="none"/>
                <w14:textFill>
                  <w14:solidFill>
                    <w14:schemeClr w14:val="tx1"/>
                  </w14:solidFill>
                </w14:textFill>
              </w:rPr>
              <w:t>1</w:t>
            </w:r>
          </w:p>
        </w:tc>
        <w:tc>
          <w:tcPr>
            <w:tcW w:w="1311" w:type="dxa"/>
            <w:vAlign w:val="center"/>
          </w:tcPr>
          <w:p w14:paraId="151E69A6">
            <w:pPr>
              <w:jc w:val="center"/>
              <w:textAlignment w:val="baseline"/>
              <w:rPr>
                <w:rFonts w:ascii="Garamond" w:hAnsi="Garamond"/>
                <w:b/>
                <w:color w:val="000000" w:themeColor="text1"/>
                <w:szCs w:val="21"/>
                <w:highlight w:val="none"/>
                <w14:textFill>
                  <w14:solidFill>
                    <w14:schemeClr w14:val="tx1"/>
                  </w14:solidFill>
                </w14:textFill>
              </w:rPr>
            </w:pPr>
            <w:r>
              <w:rPr>
                <w:rFonts w:hint="eastAsia" w:ascii="Garamond" w:hAnsi="Garamond"/>
                <w:b/>
                <w:color w:val="000000" w:themeColor="text1"/>
                <w:szCs w:val="21"/>
                <w:highlight w:val="none"/>
                <w14:textFill>
                  <w14:solidFill>
                    <w14:schemeClr w14:val="tx1"/>
                  </w14:solidFill>
                </w14:textFill>
              </w:rPr>
              <w:t>评标办法</w:t>
            </w:r>
          </w:p>
        </w:tc>
        <w:tc>
          <w:tcPr>
            <w:tcW w:w="7157" w:type="dxa"/>
          </w:tcPr>
          <w:p w14:paraId="70BB35B4">
            <w:pPr>
              <w:keepNext w:val="0"/>
              <w:keepLines w:val="0"/>
              <w:pageBreakBefore w:val="0"/>
              <w:widowControl w:val="0"/>
              <w:kinsoku/>
              <w:wordWrap/>
              <w:overflowPunct/>
              <w:topLinePunct w:val="0"/>
              <w:autoSpaceDE/>
              <w:autoSpaceDN/>
              <w:bidi w:val="0"/>
              <w:adjustRightInd w:val="0"/>
              <w:snapToGrid w:val="0"/>
              <w:ind w:left="0" w:leftChars="0"/>
              <w:textAlignment w:val="baseline"/>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本次评标采用综合评估法。根据本章“1.评标方法”的规定明确综合得分相等时，评标委员会依次按照以下优先顺序推荐中标候选人：</w:t>
            </w:r>
          </w:p>
          <w:p w14:paraId="62224574">
            <w:pPr>
              <w:keepNext w:val="0"/>
              <w:keepLines w:val="0"/>
              <w:pageBreakBefore w:val="0"/>
              <w:widowControl w:val="0"/>
              <w:kinsoku/>
              <w:wordWrap/>
              <w:overflowPunct/>
              <w:topLinePunct w:val="0"/>
              <w:autoSpaceDE/>
              <w:autoSpaceDN/>
              <w:bidi w:val="0"/>
              <w:adjustRightInd w:val="0"/>
              <w:snapToGrid w:val="0"/>
              <w:ind w:left="0" w:leftChars="0"/>
              <w:textAlignment w:val="baseline"/>
              <w:rPr>
                <w:rFonts w:hint="eastAsia"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综合评分相等时，评标委员会依次按照以下优先顺序推荐中标候选人或确定中标人：</w:t>
            </w:r>
          </w:p>
          <w:p w14:paraId="632AC5C8">
            <w:pPr>
              <w:keepNext w:val="0"/>
              <w:keepLines w:val="0"/>
              <w:pageBreakBefore w:val="0"/>
              <w:widowControl w:val="0"/>
              <w:kinsoku/>
              <w:wordWrap/>
              <w:overflowPunct/>
              <w:topLinePunct w:val="0"/>
              <w:autoSpaceDE/>
              <w:autoSpaceDN/>
              <w:bidi w:val="0"/>
              <w:adjustRightInd w:val="0"/>
              <w:snapToGrid w:val="0"/>
              <w:ind w:left="0" w:leftChars="0"/>
              <w:textAlignment w:val="baseline"/>
              <w:rPr>
                <w:rFonts w:hint="eastAsia"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（1）评标价低的投标人优先；</w:t>
            </w:r>
          </w:p>
          <w:p w14:paraId="2AB18266">
            <w:pPr>
              <w:keepNext w:val="0"/>
              <w:keepLines w:val="0"/>
              <w:pageBreakBefore w:val="0"/>
              <w:widowControl w:val="0"/>
              <w:kinsoku/>
              <w:wordWrap/>
              <w:overflowPunct/>
              <w:topLinePunct w:val="0"/>
              <w:autoSpaceDE/>
              <w:autoSpaceDN/>
              <w:bidi w:val="0"/>
              <w:adjustRightInd w:val="0"/>
              <w:snapToGrid w:val="0"/>
              <w:ind w:left="0" w:leftChars="0"/>
              <w:textAlignment w:val="baseline"/>
              <w:rPr>
                <w:rFonts w:hint="eastAsia"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（2）被列入最近一次“招标项目所在地省级公路水运建设市场守信联合激励对象名单”（红名单）的投标人优先；</w:t>
            </w:r>
          </w:p>
          <w:p w14:paraId="16D0CD15">
            <w:pPr>
              <w:keepNext w:val="0"/>
              <w:keepLines w:val="0"/>
              <w:pageBreakBefore w:val="0"/>
              <w:widowControl w:val="0"/>
              <w:kinsoku/>
              <w:wordWrap/>
              <w:overflowPunct/>
              <w:topLinePunct w:val="0"/>
              <w:autoSpaceDE/>
              <w:autoSpaceDN/>
              <w:bidi w:val="0"/>
              <w:adjustRightInd w:val="0"/>
              <w:snapToGrid w:val="0"/>
              <w:ind w:left="0" w:leftChars="0"/>
              <w:textAlignment w:val="baseline"/>
              <w:rPr>
                <w:rFonts w:hint="eastAsia"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（3）</w:t>
            </w:r>
            <w:r>
              <w:rPr>
                <w:rFonts w:hint="eastAsia" w:ascii="宋体" w:hAnsi="宋体"/>
                <w:b/>
                <w:bCs/>
                <w:color w:val="000000" w:themeColor="text1"/>
                <w:szCs w:val="21"/>
                <w:highlight w:val="none"/>
                <w:lang w:val="en-US" w:eastAsia="zh-CN"/>
                <w14:textFill>
                  <w14:solidFill>
                    <w14:schemeClr w14:val="tx1"/>
                  </w14:solidFill>
                </w14:textFill>
              </w:rPr>
              <w:t>在</w:t>
            </w:r>
            <w:r>
              <w:rPr>
                <w:rFonts w:hint="eastAsia" w:ascii="宋体" w:hAnsi="宋体"/>
                <w:b/>
                <w:bCs/>
                <w:color w:val="000000" w:themeColor="text1"/>
                <w:szCs w:val="21"/>
                <w:highlight w:val="none"/>
                <w14:textFill>
                  <w14:solidFill>
                    <w14:schemeClr w14:val="tx1"/>
                  </w14:solidFill>
                </w14:textFill>
              </w:rPr>
              <w:t>最近一次招标项目所在地省级交通运输主管部门信用等级评定分值高的投标人优先；</w:t>
            </w:r>
          </w:p>
          <w:p w14:paraId="41194A66">
            <w:pPr>
              <w:keepNext w:val="0"/>
              <w:keepLines w:val="0"/>
              <w:pageBreakBefore w:val="0"/>
              <w:widowControl w:val="0"/>
              <w:kinsoku/>
              <w:wordWrap/>
              <w:overflowPunct/>
              <w:topLinePunct w:val="0"/>
              <w:autoSpaceDE/>
              <w:autoSpaceDN/>
              <w:bidi w:val="0"/>
              <w:adjustRightInd w:val="0"/>
              <w:snapToGrid w:val="0"/>
              <w:ind w:left="0" w:leftChars="0"/>
              <w:textAlignment w:val="baseline"/>
              <w:rPr>
                <w:rFonts w:hint="eastAsia"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（4）商务和技术得分之和较高的投标人优先；</w:t>
            </w:r>
          </w:p>
          <w:p w14:paraId="5979A021">
            <w:pPr>
              <w:keepNext w:val="0"/>
              <w:keepLines w:val="0"/>
              <w:pageBreakBefore w:val="0"/>
              <w:widowControl w:val="0"/>
              <w:kinsoku/>
              <w:wordWrap/>
              <w:overflowPunct/>
              <w:topLinePunct w:val="0"/>
              <w:autoSpaceDE/>
              <w:autoSpaceDN/>
              <w:bidi w:val="0"/>
              <w:adjustRightInd w:val="0"/>
              <w:snapToGrid w:val="0"/>
              <w:ind w:left="0" w:leftChars="0"/>
              <w:textAlignment w:val="baseline"/>
              <w:rPr>
                <w:rFonts w:hint="eastAsia"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（5）“技术建议书”得分较高的投标人优先；</w:t>
            </w:r>
          </w:p>
          <w:p w14:paraId="78E4625A">
            <w:pPr>
              <w:keepNext w:val="0"/>
              <w:keepLines w:val="0"/>
              <w:pageBreakBefore w:val="0"/>
              <w:widowControl w:val="0"/>
              <w:kinsoku/>
              <w:wordWrap/>
              <w:overflowPunct/>
              <w:topLinePunct w:val="0"/>
              <w:autoSpaceDE/>
              <w:autoSpaceDN/>
              <w:bidi w:val="0"/>
              <w:adjustRightInd w:val="0"/>
              <w:snapToGrid w:val="0"/>
              <w:ind w:left="0" w:leftChars="0"/>
              <w:textAlignment w:val="baseline"/>
              <w:rPr>
                <w:rFonts w:hint="eastAsia"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w:t>
            </w:r>
            <w:r>
              <w:rPr>
                <w:rFonts w:hint="eastAsia" w:ascii="宋体" w:hAnsi="宋体"/>
                <w:b/>
                <w:bCs/>
                <w:color w:val="000000" w:themeColor="text1"/>
                <w:szCs w:val="21"/>
                <w:highlight w:val="none"/>
                <w:lang w:val="en-US" w:eastAsia="zh-CN"/>
                <w14:textFill>
                  <w14:solidFill>
                    <w14:schemeClr w14:val="tx1"/>
                  </w14:solidFill>
                </w14:textFill>
              </w:rPr>
              <w:t>6</w:t>
            </w:r>
            <w:r>
              <w:rPr>
                <w:rFonts w:hint="eastAsia" w:ascii="宋体" w:hAnsi="宋体"/>
                <w:b/>
                <w:bCs/>
                <w:color w:val="000000" w:themeColor="text1"/>
                <w:szCs w:val="21"/>
                <w:highlight w:val="none"/>
                <w:lang w:eastAsia="zh-CN"/>
                <w14:textFill>
                  <w14:solidFill>
                    <w14:schemeClr w14:val="tx1"/>
                  </w14:solidFill>
                </w14:textFill>
              </w:rPr>
              <w:t>）“</w:t>
            </w:r>
            <w:r>
              <w:rPr>
                <w:rFonts w:hint="eastAsia" w:ascii="宋体" w:hAnsi="宋体"/>
                <w:b/>
                <w:bCs/>
                <w:color w:val="000000" w:themeColor="text1"/>
                <w:szCs w:val="21"/>
                <w:highlight w:val="none"/>
                <w14:textFill>
                  <w14:solidFill>
                    <w14:schemeClr w14:val="tx1"/>
                  </w14:solidFill>
                </w14:textFill>
              </w:rPr>
              <w:t>对项目的理解和总体思路</w:t>
            </w:r>
            <w:r>
              <w:rPr>
                <w:rFonts w:hint="eastAsia" w:ascii="宋体" w:hAnsi="宋体"/>
                <w:b/>
                <w:bCs/>
                <w:color w:val="000000" w:themeColor="text1"/>
                <w:szCs w:val="21"/>
                <w:highlight w:val="none"/>
                <w:lang w:eastAsia="zh-CN"/>
                <w14:textFill>
                  <w14:solidFill>
                    <w14:schemeClr w14:val="tx1"/>
                  </w14:solidFill>
                </w14:textFill>
              </w:rPr>
              <w:t>”</w:t>
            </w:r>
            <w:r>
              <w:rPr>
                <w:rFonts w:hint="eastAsia" w:ascii="宋体" w:hAnsi="宋体"/>
                <w:b/>
                <w:bCs/>
                <w:color w:val="000000" w:themeColor="text1"/>
                <w:szCs w:val="21"/>
                <w:highlight w:val="none"/>
                <w14:textFill>
                  <w14:solidFill>
                    <w14:schemeClr w14:val="tx1"/>
                  </w14:solidFill>
                </w14:textFill>
              </w:rPr>
              <w:t>得分较高的投标人优先；</w:t>
            </w:r>
          </w:p>
          <w:p w14:paraId="1D4A27F4">
            <w:pPr>
              <w:keepNext w:val="0"/>
              <w:keepLines w:val="0"/>
              <w:pageBreakBefore w:val="0"/>
              <w:widowControl w:val="0"/>
              <w:kinsoku/>
              <w:wordWrap/>
              <w:overflowPunct/>
              <w:topLinePunct w:val="0"/>
              <w:autoSpaceDE/>
              <w:autoSpaceDN/>
              <w:bidi w:val="0"/>
              <w:adjustRightInd w:val="0"/>
              <w:snapToGrid w:val="0"/>
              <w:ind w:left="0" w:leftChars="0"/>
              <w:textAlignment w:val="baseline"/>
              <w:rPr>
                <w:rFonts w:hint="eastAsia"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w:t>
            </w:r>
            <w:r>
              <w:rPr>
                <w:rFonts w:hint="eastAsia" w:ascii="宋体" w:hAnsi="宋体"/>
                <w:b/>
                <w:bCs/>
                <w:color w:val="000000" w:themeColor="text1"/>
                <w:szCs w:val="21"/>
                <w:highlight w:val="none"/>
                <w:lang w:val="en-US" w:eastAsia="zh-CN"/>
                <w14:textFill>
                  <w14:solidFill>
                    <w14:schemeClr w14:val="tx1"/>
                  </w14:solidFill>
                </w14:textFill>
              </w:rPr>
              <w:t>7</w:t>
            </w:r>
            <w:r>
              <w:rPr>
                <w:rFonts w:hint="eastAsia" w:ascii="宋体" w:hAnsi="宋体"/>
                <w:b/>
                <w:bCs/>
                <w:color w:val="000000" w:themeColor="text1"/>
                <w:szCs w:val="21"/>
                <w:highlight w:val="none"/>
                <w14:textFill>
                  <w14:solidFill>
                    <w14:schemeClr w14:val="tx1"/>
                  </w14:solidFill>
                </w14:textFill>
              </w:rPr>
              <w:t>）评标委员会全体成员记名票决。</w:t>
            </w:r>
          </w:p>
          <w:p w14:paraId="0CC111BF">
            <w:pPr>
              <w:keepNext w:val="0"/>
              <w:keepLines w:val="0"/>
              <w:pageBreakBefore w:val="0"/>
              <w:widowControl w:val="0"/>
              <w:kinsoku/>
              <w:wordWrap/>
              <w:overflowPunct/>
              <w:topLinePunct w:val="0"/>
              <w:autoSpaceDE/>
              <w:autoSpaceDN/>
              <w:bidi w:val="0"/>
              <w:adjustRightInd w:val="0"/>
              <w:snapToGrid w:val="0"/>
              <w:ind w:left="0" w:leftChars="0"/>
              <w:textAlignment w:val="baseline"/>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（红名单、信用等级评定分值均以投标文件递交截止日当</w:t>
            </w:r>
            <w:r>
              <w:rPr>
                <w:rFonts w:hint="eastAsia" w:ascii="宋体" w:hAnsi="宋体"/>
                <w:b/>
                <w:bCs/>
                <w:color w:val="000000" w:themeColor="text1"/>
                <w:szCs w:val="21"/>
                <w:highlight w:val="none"/>
                <w:lang w:val="en-US" w:eastAsia="zh-CN"/>
                <w14:textFill>
                  <w14:solidFill>
                    <w14:schemeClr w14:val="tx1"/>
                  </w14:solidFill>
                </w14:textFill>
              </w:rPr>
              <w:t>时</w:t>
            </w:r>
            <w:r>
              <w:rPr>
                <w:rFonts w:hint="eastAsia" w:ascii="宋体" w:hAnsi="宋体"/>
                <w:b/>
                <w:bCs/>
                <w:color w:val="000000" w:themeColor="text1"/>
                <w:szCs w:val="21"/>
                <w:highlight w:val="none"/>
                <w14:textFill>
                  <w14:solidFill>
                    <w14:schemeClr w14:val="tx1"/>
                  </w14:solidFill>
                </w14:textFill>
              </w:rPr>
              <w:t>的查询结果为准。信用类别：服务</w:t>
            </w:r>
            <w:r>
              <w:rPr>
                <w:rFonts w:hint="eastAsia" w:ascii="宋体" w:hAnsi="宋体"/>
                <w:b/>
                <w:bCs/>
                <w:color w:val="000000" w:themeColor="text1"/>
                <w:szCs w:val="21"/>
                <w:highlight w:val="none"/>
                <w:lang w:val="en-US" w:eastAsia="zh-CN"/>
                <w14:textFill>
                  <w14:solidFill>
                    <w14:schemeClr w14:val="tx1"/>
                  </w14:solidFill>
                </w14:textFill>
              </w:rPr>
              <w:t>类</w:t>
            </w:r>
            <w:r>
              <w:rPr>
                <w:rFonts w:hint="eastAsia" w:ascii="宋体" w:hAnsi="宋体"/>
                <w:b/>
                <w:bCs/>
                <w:color w:val="000000" w:themeColor="text1"/>
                <w:szCs w:val="21"/>
                <w:highlight w:val="none"/>
                <w14:textFill>
                  <w14:solidFill>
                    <w14:schemeClr w14:val="tx1"/>
                  </w14:solidFill>
                </w14:textFill>
              </w:rPr>
              <w:t>）。</w:t>
            </w:r>
          </w:p>
        </w:tc>
      </w:tr>
      <w:tr w14:paraId="66822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4" w:type="dxa"/>
            <w:vMerge w:val="restart"/>
            <w:vAlign w:val="center"/>
          </w:tcPr>
          <w:p w14:paraId="3EEB95EE">
            <w:pPr>
              <w:jc w:val="center"/>
              <w:textAlignment w:val="baseline"/>
              <w:rPr>
                <w:rFonts w:ascii="Garamond" w:hAnsi="Garamond"/>
                <w:b/>
                <w:color w:val="000000" w:themeColor="text1"/>
                <w:szCs w:val="21"/>
                <w:highlight w:val="none"/>
                <w14:textFill>
                  <w14:solidFill>
                    <w14:schemeClr w14:val="tx1"/>
                  </w14:solidFill>
                </w14:textFill>
              </w:rPr>
            </w:pPr>
            <w:r>
              <w:rPr>
                <w:rFonts w:ascii="Garamond" w:hAnsi="Garamond"/>
                <w:b/>
                <w:color w:val="000000" w:themeColor="text1"/>
                <w:szCs w:val="21"/>
                <w:highlight w:val="none"/>
                <w14:textFill>
                  <w14:solidFill>
                    <w14:schemeClr w14:val="tx1"/>
                  </w14:solidFill>
                </w14:textFill>
              </w:rPr>
              <w:t>2.1.1</w:t>
            </w:r>
          </w:p>
          <w:p w14:paraId="672F5F44">
            <w:pPr>
              <w:jc w:val="center"/>
              <w:textAlignment w:val="baseline"/>
              <w:rPr>
                <w:rFonts w:ascii="Garamond" w:hAnsi="Garamond"/>
                <w:b/>
                <w:color w:val="000000" w:themeColor="text1"/>
                <w:szCs w:val="21"/>
                <w:highlight w:val="none"/>
                <w14:textFill>
                  <w14:solidFill>
                    <w14:schemeClr w14:val="tx1"/>
                  </w14:solidFill>
                </w14:textFill>
              </w:rPr>
            </w:pPr>
            <w:r>
              <w:rPr>
                <w:rFonts w:ascii="Garamond" w:hAnsi="Garamond"/>
                <w:b/>
                <w:color w:val="000000" w:themeColor="text1"/>
                <w:szCs w:val="21"/>
                <w:highlight w:val="none"/>
                <w14:textFill>
                  <w14:solidFill>
                    <w14:schemeClr w14:val="tx1"/>
                  </w14:solidFill>
                </w14:textFill>
              </w:rPr>
              <w:t>2.1.3</w:t>
            </w:r>
          </w:p>
        </w:tc>
        <w:tc>
          <w:tcPr>
            <w:tcW w:w="1311" w:type="dxa"/>
            <w:vAlign w:val="center"/>
          </w:tcPr>
          <w:p w14:paraId="6D66F558">
            <w:pPr>
              <w:jc w:val="center"/>
              <w:textAlignment w:val="baseline"/>
              <w:rPr>
                <w:rFonts w:ascii="Garamond" w:hAnsi="Garamond"/>
                <w:b/>
                <w:color w:val="000000" w:themeColor="text1"/>
                <w:szCs w:val="21"/>
                <w:highlight w:val="none"/>
                <w14:textFill>
                  <w14:solidFill>
                    <w14:schemeClr w14:val="tx1"/>
                  </w14:solidFill>
                </w14:textFill>
              </w:rPr>
            </w:pPr>
            <w:r>
              <w:rPr>
                <w:rFonts w:ascii="Garamond" w:hAnsi="Garamond"/>
                <w:b/>
                <w:color w:val="000000" w:themeColor="text1"/>
                <w:szCs w:val="21"/>
                <w:highlight w:val="none"/>
                <w14:textFill>
                  <w14:solidFill>
                    <w14:schemeClr w14:val="tx1"/>
                  </w14:solidFill>
                </w14:textFill>
              </w:rPr>
              <w:t>形式与响应性评审标准（第一个信封）</w:t>
            </w:r>
          </w:p>
        </w:tc>
        <w:tc>
          <w:tcPr>
            <w:tcW w:w="7157" w:type="dxa"/>
          </w:tcPr>
          <w:p w14:paraId="7D1D789C">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（1）投标文件按照招标文件规定的格式、内容填写，字迹清晰可辨：</w:t>
            </w:r>
          </w:p>
          <w:p w14:paraId="5989215E">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a、投标函按招标文件规定填报了项目名称、标段号、补遗书编号（如有）；</w:t>
            </w:r>
          </w:p>
          <w:p w14:paraId="415C417B">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b、投标函附录的所有数据均符合招标文件规定；</w:t>
            </w:r>
          </w:p>
          <w:p w14:paraId="61CBAF98">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c、投标文件组成齐全完整，内容均按规定填写。</w:t>
            </w:r>
          </w:p>
          <w:p w14:paraId="7FF9FD65">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（2）投标文件上法定代表人或其委托代理人的签字、投标人的单位章盖章齐全，符合招标文件规定。</w:t>
            </w:r>
          </w:p>
          <w:p w14:paraId="2E5F6BCE">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（3）投标人法定代表人授权委托代理人签署投标文件的，须提交授权委托书，且授权人和被授权人均在授权委托书上签名，并符合招标文件要求。</w:t>
            </w:r>
          </w:p>
          <w:p w14:paraId="063FEE47">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（4）投标人法定代表人亲自签署投标文件的，提供了法定代表人身份证明，且法定代表人在法定代表人身份证明上签名，并符合招标文件要求。</w:t>
            </w:r>
          </w:p>
          <w:p w14:paraId="25CF5282">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（5）投标人未以联合体形式投标。</w:t>
            </w:r>
          </w:p>
          <w:p w14:paraId="287824C6">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（6）投标人无分包计划。</w:t>
            </w:r>
          </w:p>
          <w:p w14:paraId="4EBFD566">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（7）投标文件未附有招标文件规定范围内的招标人不能接受的条件。</w:t>
            </w:r>
          </w:p>
          <w:p w14:paraId="4C170C37">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（8）投标人按照招标文件规定的金额、形式、时效和内容提供了投标保证金。</w:t>
            </w:r>
          </w:p>
          <w:p w14:paraId="2A8C9FA7">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（9）投标文件第一个信封未出现有关投标报价的内容。</w:t>
            </w:r>
          </w:p>
          <w:p w14:paraId="4E0D49ED">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（10）投标文件载明的招标项目完成期限未超过招标文件规定的时限。</w:t>
            </w:r>
          </w:p>
          <w:p w14:paraId="2BF226D6">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（11）权利义务符合招标文件规定：</w:t>
            </w:r>
          </w:p>
          <w:p w14:paraId="388BC803">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a.投标人应接受招标文件规定的风险划分原则，未提出新的风险划分办法；</w:t>
            </w:r>
          </w:p>
          <w:p w14:paraId="2669245E">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b.投标人未增加发包人的责任范围，或减少投标人义务；</w:t>
            </w:r>
          </w:p>
          <w:p w14:paraId="259E7AEB">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c.投标人未提出不同的工程验收、计量、支付办法；</w:t>
            </w:r>
          </w:p>
          <w:p w14:paraId="6D5E05B6">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d.投标人对合同纠纷、事故处理办法未提出异议；</w:t>
            </w:r>
          </w:p>
          <w:p w14:paraId="2BF64C6D">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e.投标人在投标活动中无欺诈行为；</w:t>
            </w:r>
          </w:p>
          <w:p w14:paraId="79D0573D">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f.投标人未对合同条款有重要保留。</w:t>
            </w:r>
          </w:p>
          <w:p w14:paraId="4167D5CE">
            <w:pPr>
              <w:adjustRightInd w:val="0"/>
              <w:ind w:left="105" w:leftChars="50"/>
              <w:textAlignment w:val="baseline"/>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（12）投标文件正、副本份数符合招标文件第二章“投标人须知”第3.7.4项规定。</w:t>
            </w:r>
          </w:p>
        </w:tc>
      </w:tr>
      <w:tr w14:paraId="44EED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4" w:type="dxa"/>
            <w:vMerge w:val="continue"/>
            <w:vAlign w:val="center"/>
          </w:tcPr>
          <w:p w14:paraId="6A6D8740">
            <w:pPr>
              <w:jc w:val="center"/>
              <w:textAlignment w:val="baseline"/>
              <w:rPr>
                <w:rFonts w:ascii="Garamond" w:hAnsi="Garamond"/>
                <w:b/>
                <w:color w:val="000000" w:themeColor="text1"/>
                <w:szCs w:val="21"/>
                <w:highlight w:val="none"/>
                <w14:textFill>
                  <w14:solidFill>
                    <w14:schemeClr w14:val="tx1"/>
                  </w14:solidFill>
                </w14:textFill>
              </w:rPr>
            </w:pPr>
          </w:p>
        </w:tc>
        <w:tc>
          <w:tcPr>
            <w:tcW w:w="1311" w:type="dxa"/>
            <w:vAlign w:val="center"/>
          </w:tcPr>
          <w:p w14:paraId="12A795D1">
            <w:pPr>
              <w:jc w:val="center"/>
              <w:textAlignment w:val="baseline"/>
              <w:rPr>
                <w:rFonts w:ascii="Garamond" w:hAnsi="Garamond"/>
                <w:b/>
                <w:color w:val="000000" w:themeColor="text1"/>
                <w:szCs w:val="21"/>
                <w:highlight w:val="none"/>
                <w14:textFill>
                  <w14:solidFill>
                    <w14:schemeClr w14:val="tx1"/>
                  </w14:solidFill>
                </w14:textFill>
              </w:rPr>
            </w:pPr>
            <w:r>
              <w:rPr>
                <w:rFonts w:ascii="Garamond" w:hAnsi="Garamond"/>
                <w:b/>
                <w:color w:val="000000" w:themeColor="text1"/>
                <w:szCs w:val="21"/>
                <w:highlight w:val="none"/>
                <w14:textFill>
                  <w14:solidFill>
                    <w14:schemeClr w14:val="tx1"/>
                  </w14:solidFill>
                </w14:textFill>
              </w:rPr>
              <w:t>形式与响应性评审标准（第二个信封）</w:t>
            </w:r>
          </w:p>
        </w:tc>
        <w:tc>
          <w:tcPr>
            <w:tcW w:w="7157" w:type="dxa"/>
          </w:tcPr>
          <w:p w14:paraId="70DA0E15">
            <w:pPr>
              <w:ind w:left="105" w:leftChars="5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（1）投标文件按照招标文件规定的格式、内容填写，字迹清晰可辨，内容齐全完整：</w:t>
            </w:r>
          </w:p>
          <w:p w14:paraId="3651AD40">
            <w:pPr>
              <w:ind w:left="105" w:leftChars="5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a.投标函按招标文件规定填报了项目名称、标段号、补遗书编号（如有）、投标价（包括大写金额和小写金额）；</w:t>
            </w:r>
          </w:p>
          <w:p w14:paraId="57D5B381">
            <w:pPr>
              <w:ind w:left="105" w:leftChars="5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b.已标价报价清单说明文字（如有）与招标文件规定一致，未进行实质性修改和删减；</w:t>
            </w:r>
          </w:p>
          <w:p w14:paraId="2B9078A9">
            <w:pPr>
              <w:ind w:left="105" w:leftChars="5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c.投标文件组成齐全完整，内容均按规定填写。</w:t>
            </w:r>
          </w:p>
          <w:p w14:paraId="5E92A977">
            <w:pPr>
              <w:ind w:left="105" w:leftChars="5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（2）投标文件上法定代表人或其委托代理人的签字、投标人的单位章盖章齐全，符合招标文件规定。</w:t>
            </w:r>
          </w:p>
          <w:p w14:paraId="6721E503">
            <w:pPr>
              <w:ind w:left="105" w:leftChars="5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（3）投标报价未超过招标文件设定的最高投标限价（如有）。</w:t>
            </w:r>
          </w:p>
          <w:p w14:paraId="33F0FDC9">
            <w:pPr>
              <w:ind w:left="105" w:leftChars="5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（4）投标报价的大写金额能够确定具体数值。</w:t>
            </w:r>
          </w:p>
          <w:p w14:paraId="29E78F52">
            <w:pPr>
              <w:ind w:left="105" w:leftChars="5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（5）同一投标人未提交两个以上不同的投标报价，但招标文件要求提交备选投标的除外。</w:t>
            </w:r>
          </w:p>
          <w:p w14:paraId="6703A1B9">
            <w:pPr>
              <w:ind w:left="105" w:leftChars="5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（6）投标文件正、副本份数符合招标文件第二章“投标人须知”第3.7.4项规定。</w:t>
            </w:r>
          </w:p>
        </w:tc>
      </w:tr>
      <w:tr w14:paraId="01F94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44" w:type="dxa"/>
            <w:vAlign w:val="center"/>
          </w:tcPr>
          <w:p w14:paraId="5DE5FAFF">
            <w:pPr>
              <w:jc w:val="center"/>
              <w:textAlignment w:val="baseline"/>
              <w:rPr>
                <w:rFonts w:ascii="Garamond" w:hAnsi="Garamond"/>
                <w:b/>
                <w:color w:val="000000" w:themeColor="text1"/>
                <w:szCs w:val="21"/>
                <w:highlight w:val="none"/>
                <w14:textFill>
                  <w14:solidFill>
                    <w14:schemeClr w14:val="tx1"/>
                  </w14:solidFill>
                </w14:textFill>
              </w:rPr>
            </w:pPr>
            <w:r>
              <w:rPr>
                <w:rFonts w:ascii="Garamond" w:hAnsi="Garamond"/>
                <w:b/>
                <w:color w:val="000000" w:themeColor="text1"/>
                <w:szCs w:val="21"/>
                <w:highlight w:val="none"/>
                <w14:textFill>
                  <w14:solidFill>
                    <w14:schemeClr w14:val="tx1"/>
                  </w14:solidFill>
                </w14:textFill>
              </w:rPr>
              <w:t>2.1.2</w:t>
            </w:r>
          </w:p>
        </w:tc>
        <w:tc>
          <w:tcPr>
            <w:tcW w:w="1311" w:type="dxa"/>
            <w:vAlign w:val="center"/>
          </w:tcPr>
          <w:p w14:paraId="0310719B">
            <w:pPr>
              <w:jc w:val="center"/>
              <w:textAlignment w:val="baseline"/>
              <w:rPr>
                <w:rFonts w:ascii="Garamond" w:hAnsi="Garamond"/>
                <w:b/>
                <w:color w:val="000000" w:themeColor="text1"/>
                <w:highlight w:val="none"/>
                <w14:textFill>
                  <w14:solidFill>
                    <w14:schemeClr w14:val="tx1"/>
                  </w14:solidFill>
                </w14:textFill>
              </w:rPr>
            </w:pPr>
            <w:r>
              <w:rPr>
                <w:rFonts w:ascii="Garamond" w:hAnsi="Garamond"/>
                <w:b/>
                <w:color w:val="000000" w:themeColor="text1"/>
                <w:highlight w:val="none"/>
                <w14:textFill>
                  <w14:solidFill>
                    <w14:schemeClr w14:val="tx1"/>
                  </w14:solidFill>
                </w14:textFill>
              </w:rPr>
              <w:t>资格评</w:t>
            </w:r>
          </w:p>
          <w:p w14:paraId="4BB41C82">
            <w:pPr>
              <w:jc w:val="center"/>
              <w:textAlignment w:val="baseline"/>
              <w:rPr>
                <w:rFonts w:ascii="Garamond" w:hAnsi="Garamond"/>
                <w:b/>
                <w:color w:val="000000" w:themeColor="text1"/>
                <w:highlight w:val="none"/>
                <w14:textFill>
                  <w14:solidFill>
                    <w14:schemeClr w14:val="tx1"/>
                  </w14:solidFill>
                </w14:textFill>
              </w:rPr>
            </w:pPr>
            <w:r>
              <w:rPr>
                <w:rFonts w:ascii="Garamond" w:hAnsi="Garamond"/>
                <w:b/>
                <w:color w:val="000000" w:themeColor="text1"/>
                <w:highlight w:val="none"/>
                <w14:textFill>
                  <w14:solidFill>
                    <w14:schemeClr w14:val="tx1"/>
                  </w14:solidFill>
                </w14:textFill>
              </w:rPr>
              <w:t>审标准</w:t>
            </w:r>
          </w:p>
        </w:tc>
        <w:tc>
          <w:tcPr>
            <w:tcW w:w="7157" w:type="dxa"/>
          </w:tcPr>
          <w:p w14:paraId="2B62436C">
            <w:pPr>
              <w:spacing w:line="280" w:lineRule="exact"/>
              <w:ind w:left="0" w:firstLine="0" w:firstLineChars="0"/>
              <w:jc w:val="both"/>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（1）投标人应为独立法人，具有有效的基本账户开户许可证（或基本存款账户信息）。</w:t>
            </w:r>
          </w:p>
          <w:p w14:paraId="78236E99">
            <w:pPr>
              <w:spacing w:line="280" w:lineRule="exact"/>
              <w:ind w:left="0" w:firstLine="0" w:firstLineChars="0"/>
              <w:jc w:val="both"/>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（2）投标人的资质符合招标文件规定。</w:t>
            </w:r>
          </w:p>
          <w:p w14:paraId="1099726A">
            <w:pPr>
              <w:spacing w:line="280" w:lineRule="exact"/>
              <w:ind w:left="0" w:firstLine="0" w:firstLineChars="0"/>
              <w:jc w:val="both"/>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（3）投标人的类似项目业绩符合招标文件规定。</w:t>
            </w:r>
          </w:p>
          <w:p w14:paraId="110177A1">
            <w:pPr>
              <w:ind w:left="211" w:hanging="211" w:hangingChars="10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（4）投标人的信誉符合招标文件规定。</w:t>
            </w:r>
          </w:p>
          <w:p w14:paraId="5EFCC9C8">
            <w:pPr>
              <w:ind w:left="211" w:hanging="211" w:hangingChars="10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（5）投标人的项目负责人资格、业绩符合招标文件规定。</w:t>
            </w:r>
          </w:p>
          <w:p w14:paraId="77999ECA">
            <w:pPr>
              <w:ind w:left="211" w:hanging="211" w:hangingChars="10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（6）投标人的其他要求符合招标文件规定。</w:t>
            </w:r>
          </w:p>
          <w:p w14:paraId="6763C140">
            <w:pPr>
              <w:ind w:left="211" w:hanging="211" w:hangingChars="100"/>
              <w:jc w:val="left"/>
              <w:rPr>
                <w:rFonts w:ascii="Garamond" w:hAnsi="Garamond"/>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（7）投标人不存在第二章“投标人须知”第 1.4.3 项规定的任何一种情形。</w:t>
            </w:r>
          </w:p>
        </w:tc>
      </w:tr>
    </w:tbl>
    <w:p w14:paraId="05A8D6D2">
      <w:pPr>
        <w:rPr>
          <w:rFonts w:ascii="Garamond" w:hAnsi="Garamond"/>
          <w:color w:val="000000" w:themeColor="text1"/>
          <w:sz w:val="18"/>
          <w:szCs w:val="18"/>
          <w:highlight w:val="none"/>
          <w14:textFill>
            <w14:solidFill>
              <w14:schemeClr w14:val="tx1"/>
            </w14:solidFill>
          </w14:textFill>
        </w:rPr>
      </w:pPr>
    </w:p>
    <w:p w14:paraId="275EAA6E">
      <w:pPr>
        <w:rPr>
          <w:rFonts w:ascii="Garamond" w:hAnsi="Garamond"/>
          <w:color w:val="000000" w:themeColor="text1"/>
          <w:sz w:val="18"/>
          <w:szCs w:val="18"/>
          <w:highlight w:val="none"/>
          <w14:textFill>
            <w14:solidFill>
              <w14:schemeClr w14:val="tx1"/>
            </w14:solidFill>
          </w14:textFill>
        </w:rPr>
      </w:pPr>
    </w:p>
    <w:p w14:paraId="1A00463C">
      <w:pPr>
        <w:rPr>
          <w:rFonts w:ascii="Garamond" w:hAnsi="Garamond"/>
          <w:color w:val="000000" w:themeColor="text1"/>
          <w:sz w:val="18"/>
          <w:szCs w:val="18"/>
          <w:highlight w:val="none"/>
          <w14:textFill>
            <w14:solidFill>
              <w14:schemeClr w14:val="tx1"/>
            </w14:solidFill>
          </w14:textFill>
        </w:rPr>
      </w:pPr>
    </w:p>
    <w:p w14:paraId="276EE8AF">
      <w:pPr>
        <w:rPr>
          <w:rFonts w:ascii="Garamond" w:hAnsi="Garamond"/>
          <w:color w:val="000000" w:themeColor="text1"/>
          <w:sz w:val="18"/>
          <w:szCs w:val="18"/>
          <w:highlight w:val="none"/>
          <w14:textFill>
            <w14:solidFill>
              <w14:schemeClr w14:val="tx1"/>
            </w14:solidFill>
          </w14:textFill>
        </w:rPr>
      </w:pPr>
    </w:p>
    <w:p w14:paraId="48371317">
      <w:pPr>
        <w:rPr>
          <w:rFonts w:ascii="Garamond" w:hAnsi="Garamond"/>
          <w:color w:val="000000" w:themeColor="text1"/>
          <w:sz w:val="18"/>
          <w:szCs w:val="18"/>
          <w:highlight w:val="none"/>
          <w14:textFill>
            <w14:solidFill>
              <w14:schemeClr w14:val="tx1"/>
            </w14:solidFill>
          </w14:textFill>
        </w:rPr>
      </w:pPr>
    </w:p>
    <w:p w14:paraId="3EDDEF82">
      <w:pPr>
        <w:rPr>
          <w:rFonts w:ascii="Garamond" w:hAnsi="Garamond"/>
          <w:color w:val="000000" w:themeColor="text1"/>
          <w:sz w:val="18"/>
          <w:szCs w:val="18"/>
          <w:highlight w:val="none"/>
          <w14:textFill>
            <w14:solidFill>
              <w14:schemeClr w14:val="tx1"/>
            </w14:solidFill>
          </w14:textFill>
        </w:rPr>
      </w:pPr>
    </w:p>
    <w:p w14:paraId="6F27B950">
      <w:pPr>
        <w:rPr>
          <w:rFonts w:ascii="Garamond" w:hAnsi="Garamond"/>
          <w:color w:val="000000" w:themeColor="text1"/>
          <w:sz w:val="18"/>
          <w:szCs w:val="18"/>
          <w:highlight w:val="none"/>
          <w14:textFill>
            <w14:solidFill>
              <w14:schemeClr w14:val="tx1"/>
            </w14:solidFill>
          </w14:textFill>
        </w:rPr>
      </w:pPr>
    </w:p>
    <w:p w14:paraId="17854C8F">
      <w:pPr>
        <w:rPr>
          <w:rFonts w:ascii="Garamond" w:hAnsi="Garamond"/>
          <w:color w:val="000000" w:themeColor="text1"/>
          <w:sz w:val="18"/>
          <w:szCs w:val="18"/>
          <w:highlight w:val="none"/>
          <w14:textFill>
            <w14:solidFill>
              <w14:schemeClr w14:val="tx1"/>
            </w14:solidFill>
          </w14:textFill>
        </w:rPr>
      </w:pPr>
    </w:p>
    <w:p w14:paraId="0E56F46A">
      <w:pPr>
        <w:rPr>
          <w:rFonts w:ascii="Garamond" w:hAnsi="Garamond"/>
          <w:color w:val="000000" w:themeColor="text1"/>
          <w:sz w:val="18"/>
          <w:szCs w:val="18"/>
          <w:highlight w:val="none"/>
          <w14:textFill>
            <w14:solidFill>
              <w14:schemeClr w14:val="tx1"/>
            </w14:solidFill>
          </w14:textFill>
        </w:rPr>
      </w:pPr>
    </w:p>
    <w:p w14:paraId="4CCE8B21">
      <w:pPr>
        <w:rPr>
          <w:rFonts w:ascii="Garamond" w:hAnsi="Garamond"/>
          <w:color w:val="000000" w:themeColor="text1"/>
          <w:sz w:val="18"/>
          <w:szCs w:val="18"/>
          <w:highlight w:val="none"/>
          <w14:textFill>
            <w14:solidFill>
              <w14:schemeClr w14:val="tx1"/>
            </w14:solidFill>
          </w14:textFill>
        </w:rPr>
      </w:pPr>
    </w:p>
    <w:p w14:paraId="41236E31">
      <w:pPr>
        <w:rPr>
          <w:rFonts w:ascii="Garamond" w:hAnsi="Garamond"/>
          <w:color w:val="000000" w:themeColor="text1"/>
          <w:sz w:val="18"/>
          <w:szCs w:val="18"/>
          <w:highlight w:val="none"/>
          <w14:textFill>
            <w14:solidFill>
              <w14:schemeClr w14:val="tx1"/>
            </w14:solidFill>
          </w14:textFill>
        </w:rPr>
      </w:pPr>
    </w:p>
    <w:p w14:paraId="472352AD">
      <w:pPr>
        <w:rPr>
          <w:rFonts w:ascii="Garamond" w:hAnsi="Garamond"/>
          <w:color w:val="000000" w:themeColor="text1"/>
          <w:sz w:val="18"/>
          <w:szCs w:val="18"/>
          <w:highlight w:val="none"/>
          <w14:textFill>
            <w14:solidFill>
              <w14:schemeClr w14:val="tx1"/>
            </w14:solidFill>
          </w14:textFill>
        </w:rPr>
      </w:pPr>
    </w:p>
    <w:p w14:paraId="0F1C3871">
      <w:pPr>
        <w:rPr>
          <w:rFonts w:ascii="Garamond" w:hAnsi="Garamond"/>
          <w:color w:val="000000" w:themeColor="text1"/>
          <w:sz w:val="18"/>
          <w:szCs w:val="18"/>
          <w:highlight w:val="none"/>
          <w14:textFill>
            <w14:solidFill>
              <w14:schemeClr w14:val="tx1"/>
            </w14:solidFill>
          </w14:textFill>
        </w:rPr>
      </w:pPr>
    </w:p>
    <w:p w14:paraId="7C3C431F">
      <w:pPr>
        <w:rPr>
          <w:rFonts w:ascii="Garamond" w:hAnsi="Garamond"/>
          <w:color w:val="000000" w:themeColor="text1"/>
          <w:sz w:val="18"/>
          <w:szCs w:val="18"/>
          <w:highlight w:val="none"/>
          <w14:textFill>
            <w14:solidFill>
              <w14:schemeClr w14:val="tx1"/>
            </w14:solidFill>
          </w14:textFill>
        </w:rPr>
      </w:pPr>
    </w:p>
    <w:p w14:paraId="5316DA38">
      <w:pPr>
        <w:rPr>
          <w:rFonts w:ascii="Garamond" w:hAnsi="Garamond"/>
          <w:color w:val="000000" w:themeColor="text1"/>
          <w:sz w:val="18"/>
          <w:szCs w:val="18"/>
          <w:highlight w:val="none"/>
          <w14:textFill>
            <w14:solidFill>
              <w14:schemeClr w14:val="tx1"/>
            </w14:solidFill>
          </w14:textFill>
        </w:rPr>
      </w:pPr>
      <w:r>
        <w:rPr>
          <w:rFonts w:ascii="Garamond" w:hAnsi="Garamond"/>
          <w:color w:val="000000" w:themeColor="text1"/>
          <w:sz w:val="18"/>
          <w:szCs w:val="18"/>
          <w:highlight w:val="none"/>
          <w14:textFill>
            <w14:solidFill>
              <w14:schemeClr w14:val="tx1"/>
            </w14:solidFill>
          </w14:textFill>
        </w:rPr>
        <w:br w:type="page"/>
      </w:r>
    </w:p>
    <w:p w14:paraId="0D1F76CE">
      <w:pPr>
        <w:rPr>
          <w:rFonts w:ascii="Garamond" w:hAnsi="Garamond"/>
          <w:color w:val="000000" w:themeColor="text1"/>
          <w:sz w:val="18"/>
          <w:szCs w:val="18"/>
          <w:highlight w:val="none"/>
          <w14:textFill>
            <w14:solidFill>
              <w14:schemeClr w14:val="tx1"/>
            </w14:solidFill>
          </w14:textFill>
        </w:rPr>
      </w:pPr>
    </w:p>
    <w:p w14:paraId="71360C8E">
      <w:pPr>
        <w:rPr>
          <w:rFonts w:ascii="Garamond" w:hAnsi="Garamond"/>
          <w:color w:val="000000" w:themeColor="text1"/>
          <w:sz w:val="18"/>
          <w:szCs w:val="18"/>
          <w:highlight w:val="none"/>
          <w14:textFill>
            <w14:solidFill>
              <w14:schemeClr w14:val="tx1"/>
            </w14:solidFill>
          </w14:textFill>
        </w:rPr>
      </w:pP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075"/>
        <w:gridCol w:w="7157"/>
      </w:tblGrid>
      <w:tr w14:paraId="58EAB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876" w:type="dxa"/>
            <w:vAlign w:val="center"/>
          </w:tcPr>
          <w:p w14:paraId="2FECBD70">
            <w:pPr>
              <w:jc w:val="center"/>
              <w:textAlignment w:val="baseline"/>
              <w:rPr>
                <w:rFonts w:ascii="Garamond" w:hAnsi="Garamond"/>
                <w:b/>
                <w:color w:val="000000" w:themeColor="text1"/>
                <w:szCs w:val="21"/>
                <w:highlight w:val="none"/>
                <w14:textFill>
                  <w14:solidFill>
                    <w14:schemeClr w14:val="tx1"/>
                  </w14:solidFill>
                </w14:textFill>
              </w:rPr>
            </w:pPr>
            <w:r>
              <w:rPr>
                <w:rFonts w:ascii="Garamond" w:hAnsi="Garamond"/>
                <w:b/>
                <w:color w:val="000000" w:themeColor="text1"/>
                <w:szCs w:val="21"/>
                <w:highlight w:val="none"/>
                <w14:textFill>
                  <w14:solidFill>
                    <w14:schemeClr w14:val="tx1"/>
                  </w14:solidFill>
                </w14:textFill>
              </w:rPr>
              <w:t>条款号</w:t>
            </w:r>
          </w:p>
        </w:tc>
        <w:tc>
          <w:tcPr>
            <w:tcW w:w="1075" w:type="dxa"/>
            <w:vAlign w:val="center"/>
          </w:tcPr>
          <w:p w14:paraId="5BF03AD0">
            <w:pPr>
              <w:jc w:val="center"/>
              <w:textAlignment w:val="baseline"/>
              <w:rPr>
                <w:rFonts w:ascii="Garamond" w:hAnsi="Garamond"/>
                <w:b/>
                <w:color w:val="000000" w:themeColor="text1"/>
                <w:szCs w:val="21"/>
                <w:highlight w:val="none"/>
                <w14:textFill>
                  <w14:solidFill>
                    <w14:schemeClr w14:val="tx1"/>
                  </w14:solidFill>
                </w14:textFill>
              </w:rPr>
            </w:pPr>
            <w:r>
              <w:rPr>
                <w:rFonts w:ascii="Garamond" w:hAnsi="Garamond"/>
                <w:b/>
                <w:color w:val="000000" w:themeColor="text1"/>
                <w:szCs w:val="21"/>
                <w:highlight w:val="none"/>
                <w14:textFill>
                  <w14:solidFill>
                    <w14:schemeClr w14:val="tx1"/>
                  </w14:solidFill>
                </w14:textFill>
              </w:rPr>
              <w:t>条款内容</w:t>
            </w:r>
          </w:p>
        </w:tc>
        <w:tc>
          <w:tcPr>
            <w:tcW w:w="7157" w:type="dxa"/>
            <w:vAlign w:val="center"/>
          </w:tcPr>
          <w:p w14:paraId="2D3BE873">
            <w:pPr>
              <w:jc w:val="center"/>
              <w:textAlignment w:val="baseline"/>
              <w:rPr>
                <w:rFonts w:ascii="Garamond" w:hAnsi="Garamond"/>
                <w:b/>
                <w:color w:val="000000" w:themeColor="text1"/>
                <w:szCs w:val="21"/>
                <w:highlight w:val="none"/>
                <w14:textFill>
                  <w14:solidFill>
                    <w14:schemeClr w14:val="tx1"/>
                  </w14:solidFill>
                </w14:textFill>
              </w:rPr>
            </w:pPr>
            <w:r>
              <w:rPr>
                <w:rFonts w:ascii="Garamond" w:hAnsi="Garamond"/>
                <w:b/>
                <w:color w:val="000000" w:themeColor="text1"/>
                <w:szCs w:val="21"/>
                <w:highlight w:val="none"/>
                <w14:textFill>
                  <w14:solidFill>
                    <w14:schemeClr w14:val="tx1"/>
                  </w14:solidFill>
                </w14:textFill>
              </w:rPr>
              <w:t>编列内容</w:t>
            </w:r>
          </w:p>
        </w:tc>
      </w:tr>
      <w:tr w14:paraId="1EA57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trPr>
        <w:tc>
          <w:tcPr>
            <w:tcW w:w="876" w:type="dxa"/>
            <w:vAlign w:val="center"/>
          </w:tcPr>
          <w:p w14:paraId="288DEB61">
            <w:pPr>
              <w:jc w:val="center"/>
              <w:textAlignment w:val="baseline"/>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2.2.1</w:t>
            </w:r>
          </w:p>
        </w:tc>
        <w:tc>
          <w:tcPr>
            <w:tcW w:w="1075" w:type="dxa"/>
            <w:vAlign w:val="center"/>
          </w:tcPr>
          <w:p w14:paraId="6DF9AB5E">
            <w:pPr>
              <w:jc w:val="center"/>
              <w:textAlignment w:val="baseline"/>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分值构成</w:t>
            </w:r>
          </w:p>
          <w:p w14:paraId="11850A2D">
            <w:pPr>
              <w:jc w:val="center"/>
              <w:textAlignment w:val="baseline"/>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（总分100分）</w:t>
            </w:r>
          </w:p>
        </w:tc>
        <w:tc>
          <w:tcPr>
            <w:tcW w:w="7157" w:type="dxa"/>
            <w:vAlign w:val="center"/>
          </w:tcPr>
          <w:p w14:paraId="358D9B69">
            <w:pPr>
              <w:jc w:val="left"/>
              <w:textAlignment w:val="baseline"/>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第一个信封（商务及技术文件）评分分值构成：</w:t>
            </w:r>
          </w:p>
          <w:p w14:paraId="1225110B">
            <w:pPr>
              <w:jc w:val="left"/>
              <w:textAlignment w:val="baseline"/>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技术建议书：</w:t>
            </w:r>
            <w:r>
              <w:rPr>
                <w:rFonts w:hint="eastAsia" w:ascii="宋体" w:hAnsi="宋体" w:eastAsia="宋体" w:cs="宋体"/>
                <w:color w:val="000000" w:themeColor="text1"/>
                <w:szCs w:val="21"/>
                <w:highlight w:val="none"/>
                <w:u w:val="single"/>
                <w14:textFill>
                  <w14:solidFill>
                    <w14:schemeClr w14:val="tx1"/>
                  </w14:solidFill>
                </w14:textFill>
              </w:rPr>
              <w:t xml:space="preserve"> 45 </w:t>
            </w:r>
            <w:r>
              <w:rPr>
                <w:rFonts w:hint="eastAsia" w:ascii="宋体" w:hAnsi="宋体" w:eastAsia="宋体" w:cs="宋体"/>
                <w:color w:val="000000" w:themeColor="text1"/>
                <w:szCs w:val="21"/>
                <w:highlight w:val="none"/>
                <w14:textFill>
                  <w14:solidFill>
                    <w14:schemeClr w14:val="tx1"/>
                  </w14:solidFill>
                </w14:textFill>
              </w:rPr>
              <w:t>分</w:t>
            </w:r>
          </w:p>
          <w:p w14:paraId="48D63165">
            <w:pPr>
              <w:jc w:val="left"/>
              <w:textAlignment w:val="baseline"/>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主要人员：</w:t>
            </w:r>
            <w:r>
              <w:rPr>
                <w:rFonts w:hint="eastAsia" w:ascii="宋体" w:hAnsi="宋体" w:eastAsia="宋体" w:cs="宋体"/>
                <w:color w:val="000000" w:themeColor="text1"/>
                <w:szCs w:val="21"/>
                <w:highlight w:val="none"/>
                <w:u w:val="single"/>
                <w14:textFill>
                  <w14:solidFill>
                    <w14:schemeClr w14:val="tx1"/>
                  </w14:solidFill>
                </w14:textFill>
              </w:rPr>
              <w:t xml:space="preserve"> 20 </w:t>
            </w:r>
            <w:r>
              <w:rPr>
                <w:rFonts w:hint="eastAsia" w:ascii="宋体" w:hAnsi="宋体" w:eastAsia="宋体" w:cs="宋体"/>
                <w:color w:val="000000" w:themeColor="text1"/>
                <w:szCs w:val="21"/>
                <w:highlight w:val="none"/>
                <w14:textFill>
                  <w14:solidFill>
                    <w14:schemeClr w14:val="tx1"/>
                  </w14:solidFill>
                </w14:textFill>
              </w:rPr>
              <w:t>分</w:t>
            </w:r>
          </w:p>
          <w:p w14:paraId="5AE8F265">
            <w:pPr>
              <w:jc w:val="left"/>
              <w:textAlignment w:val="baseline"/>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技术能力：</w:t>
            </w:r>
            <w:r>
              <w:rPr>
                <w:rFonts w:hint="eastAsia" w:ascii="宋体" w:hAnsi="宋体" w:eastAsia="宋体" w:cs="宋体"/>
                <w:color w:val="000000" w:themeColor="text1"/>
                <w:szCs w:val="21"/>
                <w:highlight w:val="none"/>
                <w:u w:val="single"/>
                <w14:textFill>
                  <w14:solidFill>
                    <w14:schemeClr w14:val="tx1"/>
                  </w14:solidFill>
                </w14:textFill>
              </w:rPr>
              <w:t>0</w:t>
            </w:r>
            <w:r>
              <w:rPr>
                <w:rFonts w:hint="eastAsia" w:ascii="宋体" w:hAnsi="宋体" w:eastAsia="宋体" w:cs="宋体"/>
                <w:color w:val="000000" w:themeColor="text1"/>
                <w:szCs w:val="21"/>
                <w:highlight w:val="none"/>
                <w14:textFill>
                  <w14:solidFill>
                    <w14:schemeClr w14:val="tx1"/>
                  </w14:solidFill>
                </w14:textFill>
              </w:rPr>
              <w:t>分</w:t>
            </w:r>
          </w:p>
          <w:p w14:paraId="547F12FF">
            <w:pPr>
              <w:jc w:val="left"/>
              <w:textAlignment w:val="baseline"/>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业绩：</w:t>
            </w:r>
            <w:r>
              <w:rPr>
                <w:rFonts w:hint="eastAsia" w:ascii="宋体" w:hAnsi="宋体" w:eastAsia="宋体" w:cs="宋体"/>
                <w:color w:val="000000" w:themeColor="text1"/>
                <w:szCs w:val="21"/>
                <w:highlight w:val="none"/>
                <w:u w:val="single"/>
                <w14:textFill>
                  <w14:solidFill>
                    <w14:schemeClr w14:val="tx1"/>
                  </w14:solidFill>
                </w14:textFill>
              </w:rPr>
              <w:t>20</w:t>
            </w:r>
            <w:r>
              <w:rPr>
                <w:rFonts w:hint="eastAsia" w:ascii="宋体" w:hAnsi="宋体" w:eastAsia="宋体" w:cs="宋体"/>
                <w:color w:val="000000" w:themeColor="text1"/>
                <w:szCs w:val="21"/>
                <w:highlight w:val="none"/>
                <w14:textFill>
                  <w14:solidFill>
                    <w14:schemeClr w14:val="tx1"/>
                  </w14:solidFill>
                </w14:textFill>
              </w:rPr>
              <w:t>分</w:t>
            </w:r>
          </w:p>
          <w:p w14:paraId="32FFDBDC">
            <w:pPr>
              <w:jc w:val="left"/>
              <w:textAlignment w:val="baseline"/>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履约信誉：</w:t>
            </w:r>
            <w:r>
              <w:rPr>
                <w:rFonts w:hint="eastAsia" w:ascii="宋体" w:hAnsi="宋体" w:eastAsia="宋体" w:cs="宋体"/>
                <w:color w:val="000000" w:themeColor="text1"/>
                <w:szCs w:val="21"/>
                <w:highlight w:val="none"/>
                <w:u w:val="single"/>
                <w14:textFill>
                  <w14:solidFill>
                    <w14:schemeClr w14:val="tx1"/>
                  </w14:solidFill>
                </w14:textFill>
              </w:rPr>
              <w:t xml:space="preserve"> 5 </w:t>
            </w:r>
            <w:r>
              <w:rPr>
                <w:rFonts w:hint="eastAsia" w:ascii="宋体" w:hAnsi="宋体" w:eastAsia="宋体" w:cs="宋体"/>
                <w:color w:val="000000" w:themeColor="text1"/>
                <w:szCs w:val="21"/>
                <w:highlight w:val="none"/>
                <w14:textFill>
                  <w14:solidFill>
                    <w14:schemeClr w14:val="tx1"/>
                  </w14:solidFill>
                </w14:textFill>
              </w:rPr>
              <w:t>分</w:t>
            </w:r>
          </w:p>
          <w:p w14:paraId="0A57652E">
            <w:pPr>
              <w:jc w:val="left"/>
              <w:textAlignment w:val="baseline"/>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第二个信封（报价文件）评分分值构成：</w:t>
            </w:r>
          </w:p>
          <w:p w14:paraId="4E00EB85">
            <w:pPr>
              <w:jc w:val="left"/>
              <w:textAlignment w:val="baseline"/>
              <w:rPr>
                <w:rFonts w:ascii="Garamond" w:hAnsi="Garamond"/>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w:t>
            </w:r>
            <w:r>
              <w:rPr>
                <w:rFonts w:hint="eastAsia" w:ascii="宋体" w:hAnsi="宋体" w:eastAsia="宋体" w:cs="宋体"/>
                <w:color w:val="000000" w:themeColor="text1"/>
                <w:szCs w:val="21"/>
                <w:highlight w:val="none"/>
                <w:u w:val="single"/>
                <w14:textFill>
                  <w14:solidFill>
                    <w14:schemeClr w14:val="tx1"/>
                  </w14:solidFill>
                </w14:textFill>
              </w:rPr>
              <w:t xml:space="preserve"> 10</w:t>
            </w:r>
            <w:r>
              <w:rPr>
                <w:rFonts w:hint="eastAsia" w:ascii="宋体" w:hAnsi="宋体" w:eastAsia="宋体" w:cs="宋体"/>
                <w:color w:val="000000" w:themeColor="text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分</w:t>
            </w:r>
          </w:p>
        </w:tc>
      </w:tr>
      <w:tr w14:paraId="5E155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8" w:hRule="atLeast"/>
        </w:trPr>
        <w:tc>
          <w:tcPr>
            <w:tcW w:w="876" w:type="dxa"/>
            <w:vAlign w:val="center"/>
          </w:tcPr>
          <w:p w14:paraId="01A55BBF">
            <w:pPr>
              <w:jc w:val="center"/>
              <w:textAlignment w:val="baseline"/>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2.2.2</w:t>
            </w:r>
          </w:p>
        </w:tc>
        <w:tc>
          <w:tcPr>
            <w:tcW w:w="1075" w:type="dxa"/>
            <w:vAlign w:val="center"/>
          </w:tcPr>
          <w:p w14:paraId="5A194910">
            <w:pPr>
              <w:jc w:val="center"/>
              <w:textAlignment w:val="baseline"/>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评标基准价计算方法</w:t>
            </w:r>
          </w:p>
        </w:tc>
        <w:tc>
          <w:tcPr>
            <w:tcW w:w="7157" w:type="dxa"/>
          </w:tcPr>
          <w:p w14:paraId="5EA1C1E5">
            <w:pPr>
              <w:keepNext w:val="0"/>
              <w:keepLines w:val="0"/>
              <w:pageBreakBefore w:val="0"/>
              <w:widowControl w:val="0"/>
              <w:kinsoku/>
              <w:wordWrap/>
              <w:overflowPunct/>
              <w:topLinePunct w:val="0"/>
              <w:autoSpaceDE/>
              <w:autoSpaceDN/>
              <w:bidi w:val="0"/>
              <w:adjustRightInd w:val="0"/>
              <w:snapToGrid w:val="0"/>
              <w:ind w:left="0" w:leftChars="0" w:right="0"/>
              <w:textAlignment w:val="auto"/>
              <w:rPr>
                <w:rFonts w:hint="eastAsia" w:ascii="宋体" w:hAnsi="宋体" w:eastAsia="宋体" w:cs="宋体"/>
                <w:szCs w:val="21"/>
                <w:highlight w:val="none"/>
              </w:rPr>
            </w:pPr>
            <w:r>
              <w:rPr>
                <w:rFonts w:hint="eastAsia" w:ascii="宋体" w:hAnsi="宋体" w:eastAsia="宋体" w:cs="宋体"/>
                <w:szCs w:val="21"/>
                <w:highlight w:val="none"/>
              </w:rPr>
              <w:t>评标基准价的计算：</w:t>
            </w:r>
          </w:p>
          <w:p w14:paraId="28270C39">
            <w:pPr>
              <w:keepNext w:val="0"/>
              <w:keepLines w:val="0"/>
              <w:pageBreakBefore w:val="0"/>
              <w:widowControl w:val="0"/>
              <w:kinsoku/>
              <w:wordWrap/>
              <w:overflowPunct/>
              <w:topLinePunct w:val="0"/>
              <w:autoSpaceDE/>
              <w:autoSpaceDN/>
              <w:bidi w:val="0"/>
              <w:adjustRightInd w:val="0"/>
              <w:snapToGrid w:val="0"/>
              <w:ind w:left="0" w:leftChars="0" w:right="0"/>
              <w:textAlignment w:val="auto"/>
              <w:rPr>
                <w:rFonts w:hint="eastAsia" w:ascii="宋体" w:hAnsi="宋体" w:eastAsia="宋体" w:cs="宋体"/>
                <w:szCs w:val="21"/>
                <w:highlight w:val="none"/>
              </w:rPr>
            </w:pPr>
            <w:r>
              <w:rPr>
                <w:rFonts w:hint="eastAsia" w:ascii="宋体" w:hAnsi="宋体" w:eastAsia="宋体" w:cs="宋体"/>
                <w:szCs w:val="21"/>
                <w:highlight w:val="none"/>
              </w:rPr>
              <w:t>在开标现场，招标人将当场计算并宣布评标基准价。</w:t>
            </w:r>
          </w:p>
          <w:p w14:paraId="1D8E6A69">
            <w:pPr>
              <w:keepNext w:val="0"/>
              <w:keepLines w:val="0"/>
              <w:pageBreakBefore w:val="0"/>
              <w:widowControl w:val="0"/>
              <w:kinsoku/>
              <w:wordWrap/>
              <w:overflowPunct/>
              <w:topLinePunct w:val="0"/>
              <w:autoSpaceDE/>
              <w:autoSpaceDN/>
              <w:bidi w:val="0"/>
              <w:adjustRightInd w:val="0"/>
              <w:snapToGrid w:val="0"/>
              <w:ind w:left="0" w:leftChars="0" w:right="0"/>
              <w:textAlignment w:val="auto"/>
              <w:rPr>
                <w:rFonts w:hint="eastAsia" w:ascii="宋体" w:hAnsi="宋体" w:eastAsia="宋体" w:cs="宋体"/>
                <w:szCs w:val="21"/>
                <w:highlight w:val="none"/>
              </w:rPr>
            </w:pPr>
            <w:r>
              <w:rPr>
                <w:rFonts w:hint="eastAsia" w:ascii="宋体" w:hAnsi="宋体" w:eastAsia="宋体" w:cs="宋体"/>
                <w:szCs w:val="21"/>
                <w:highlight w:val="none"/>
              </w:rPr>
              <w:t>(1)评标价的确定：</w:t>
            </w:r>
          </w:p>
          <w:p w14:paraId="47B75F52">
            <w:pPr>
              <w:keepNext w:val="0"/>
              <w:keepLines w:val="0"/>
              <w:pageBreakBefore w:val="0"/>
              <w:widowControl w:val="0"/>
              <w:kinsoku/>
              <w:wordWrap/>
              <w:overflowPunct/>
              <w:topLinePunct w:val="0"/>
              <w:autoSpaceDE/>
              <w:autoSpaceDN/>
              <w:bidi w:val="0"/>
              <w:adjustRightInd w:val="0"/>
              <w:snapToGrid w:val="0"/>
              <w:ind w:left="0" w:leftChars="0" w:right="0"/>
              <w:textAlignment w:val="auto"/>
              <w:rPr>
                <w:rFonts w:hint="eastAsia" w:ascii="宋体" w:hAnsi="宋体" w:eastAsia="宋体" w:cs="宋体"/>
                <w:szCs w:val="21"/>
                <w:highlight w:val="none"/>
              </w:rPr>
            </w:pPr>
            <w:r>
              <w:rPr>
                <w:rFonts w:hint="eastAsia" w:ascii="宋体" w:hAnsi="宋体" w:eastAsia="宋体" w:cs="宋体"/>
                <w:szCs w:val="21"/>
                <w:highlight w:val="none"/>
              </w:rPr>
              <w:t xml:space="preserve">评标价=报价函文字报价 </w:t>
            </w:r>
          </w:p>
          <w:p w14:paraId="0E52FD81">
            <w:pPr>
              <w:keepNext w:val="0"/>
              <w:keepLines w:val="0"/>
              <w:pageBreakBefore w:val="0"/>
              <w:widowControl w:val="0"/>
              <w:kinsoku/>
              <w:wordWrap/>
              <w:overflowPunct/>
              <w:topLinePunct w:val="0"/>
              <w:autoSpaceDE/>
              <w:autoSpaceDN/>
              <w:bidi w:val="0"/>
              <w:adjustRightInd w:val="0"/>
              <w:snapToGrid w:val="0"/>
              <w:ind w:left="0" w:leftChars="0" w:right="0"/>
              <w:textAlignment w:val="auto"/>
              <w:rPr>
                <w:rFonts w:hint="eastAsia" w:ascii="宋体" w:hAnsi="宋体" w:eastAsia="宋体" w:cs="宋体"/>
                <w:szCs w:val="21"/>
                <w:highlight w:val="none"/>
              </w:rPr>
            </w:pPr>
            <w:r>
              <w:rPr>
                <w:rFonts w:hint="eastAsia" w:ascii="宋体" w:hAnsi="宋体" w:eastAsia="宋体" w:cs="宋体"/>
                <w:szCs w:val="21"/>
                <w:highlight w:val="none"/>
              </w:rPr>
              <w:t>(2)</w:t>
            </w:r>
            <w:r>
              <w:rPr>
                <w:rFonts w:hint="eastAsia" w:ascii="宋体" w:hAnsi="宋体" w:eastAsia="宋体" w:cs="宋体"/>
                <w:szCs w:val="21"/>
                <w:highlight w:val="none"/>
              </w:rPr>
              <w:tab/>
            </w:r>
            <w:r>
              <w:rPr>
                <w:rFonts w:hint="eastAsia" w:ascii="宋体" w:hAnsi="宋体" w:eastAsia="宋体" w:cs="宋体"/>
                <w:szCs w:val="21"/>
                <w:highlight w:val="none"/>
              </w:rPr>
              <w:t>评标价平均值的计算：</w:t>
            </w:r>
          </w:p>
          <w:p w14:paraId="52D19ECC">
            <w:pPr>
              <w:keepNext w:val="0"/>
              <w:keepLines w:val="0"/>
              <w:pageBreakBefore w:val="0"/>
              <w:widowControl w:val="0"/>
              <w:kinsoku/>
              <w:wordWrap/>
              <w:overflowPunct/>
              <w:topLinePunct w:val="0"/>
              <w:autoSpaceDE/>
              <w:autoSpaceDN/>
              <w:bidi w:val="0"/>
              <w:adjustRightInd w:val="0"/>
              <w:snapToGrid w:val="0"/>
              <w:ind w:left="0" w:leftChars="0" w:right="0"/>
              <w:textAlignment w:val="auto"/>
              <w:rPr>
                <w:rFonts w:hint="eastAsia" w:ascii="宋体" w:hAnsi="宋体" w:eastAsia="宋体" w:cs="宋体"/>
                <w:szCs w:val="21"/>
                <w:highlight w:val="none"/>
              </w:rPr>
            </w:pPr>
            <w:r>
              <w:rPr>
                <w:rFonts w:hint="eastAsia" w:ascii="宋体" w:hAnsi="宋体" w:eastAsia="宋体" w:cs="宋体"/>
                <w:szCs w:val="21"/>
                <w:highlight w:val="none"/>
              </w:rPr>
              <w:t>按第一个信封（商务和技术文件）评审得分由高到低的顺序选取前3名（若不足3名，则选取相应数量），对其第二个信封（报价文件）的评标价作算术平均（根据第二章“投标人须知”第5.2.4项规定在开标现场被宣布为不进入评标基准价计算的投标报价除外），将该平均值作为评标价平均值。</w:t>
            </w:r>
          </w:p>
          <w:p w14:paraId="56CF6A67">
            <w:pPr>
              <w:keepNext w:val="0"/>
              <w:keepLines w:val="0"/>
              <w:pageBreakBefore w:val="0"/>
              <w:widowControl w:val="0"/>
              <w:kinsoku/>
              <w:wordWrap/>
              <w:overflowPunct/>
              <w:topLinePunct w:val="0"/>
              <w:autoSpaceDE/>
              <w:autoSpaceDN/>
              <w:bidi w:val="0"/>
              <w:adjustRightInd w:val="0"/>
              <w:snapToGrid w:val="0"/>
              <w:ind w:left="0" w:leftChars="0" w:right="0"/>
              <w:textAlignment w:val="auto"/>
              <w:rPr>
                <w:rFonts w:hint="eastAsia" w:ascii="宋体" w:hAnsi="宋体" w:eastAsia="宋体" w:cs="宋体"/>
                <w:szCs w:val="21"/>
                <w:highlight w:val="none"/>
              </w:rPr>
            </w:pPr>
            <w:r>
              <w:rPr>
                <w:rFonts w:hint="eastAsia" w:ascii="宋体" w:hAnsi="宋体" w:eastAsia="宋体" w:cs="宋体"/>
                <w:szCs w:val="21"/>
                <w:highlight w:val="none"/>
              </w:rPr>
              <w:t>(3)评标基准价的确定</w:t>
            </w:r>
          </w:p>
          <w:p w14:paraId="298E3EA8">
            <w:pPr>
              <w:keepNext w:val="0"/>
              <w:keepLines w:val="0"/>
              <w:pageBreakBefore w:val="0"/>
              <w:widowControl w:val="0"/>
              <w:kinsoku/>
              <w:wordWrap/>
              <w:overflowPunct/>
              <w:topLinePunct w:val="0"/>
              <w:autoSpaceDE/>
              <w:autoSpaceDN/>
              <w:bidi w:val="0"/>
              <w:adjustRightInd w:val="0"/>
              <w:snapToGrid w:val="0"/>
              <w:ind w:left="0" w:leftChars="0" w:right="0"/>
              <w:textAlignment w:val="auto"/>
              <w:rPr>
                <w:rFonts w:hint="eastAsia" w:ascii="宋体" w:hAnsi="宋体" w:eastAsia="宋体" w:cs="宋体"/>
                <w:szCs w:val="21"/>
                <w:highlight w:val="none"/>
              </w:rPr>
            </w:pPr>
            <w:r>
              <w:rPr>
                <w:rFonts w:hint="eastAsia" w:ascii="宋体" w:hAnsi="宋体" w:eastAsia="宋体" w:cs="宋体"/>
                <w:szCs w:val="21"/>
                <w:highlight w:val="none"/>
              </w:rPr>
              <w:t>将评标价平均值直接作为评标基准价。</w:t>
            </w:r>
          </w:p>
          <w:p w14:paraId="3176DAB6">
            <w:pPr>
              <w:keepNext w:val="0"/>
              <w:keepLines w:val="0"/>
              <w:pageBreakBefore w:val="0"/>
              <w:widowControl w:val="0"/>
              <w:kinsoku/>
              <w:wordWrap/>
              <w:overflowPunct/>
              <w:topLinePunct w:val="0"/>
              <w:autoSpaceDE/>
              <w:autoSpaceDN/>
              <w:bidi w:val="0"/>
              <w:adjustRightInd w:val="0"/>
              <w:snapToGrid w:val="0"/>
              <w:ind w:left="0" w:leftChars="0" w:right="0"/>
              <w:textAlignment w:val="auto"/>
              <w:rPr>
                <w:rFonts w:ascii="Garamond" w:hAnsi="Garamond"/>
                <w:color w:val="000000" w:themeColor="text1"/>
                <w:szCs w:val="21"/>
                <w:highlight w:val="none"/>
                <w14:textFill>
                  <w14:solidFill>
                    <w14:schemeClr w14:val="tx1"/>
                  </w14:solidFill>
                </w14:textFill>
              </w:rPr>
            </w:pPr>
            <w:r>
              <w:rPr>
                <w:rFonts w:hint="eastAsia" w:hAnsi="宋体"/>
                <w:b w:val="0"/>
                <w:bCs/>
                <w:szCs w:val="21"/>
                <w:highlight w:val="none"/>
              </w:rPr>
              <w:t>在评标过程中，评标委员会应对招标人计算的评标基准价进行复核，存在计算错误的应予以修正并在评标报告中作出说明。除此之外，评标基准价在整个评标期间保持不变，不随任何因素发生变化。</w:t>
            </w:r>
          </w:p>
        </w:tc>
      </w:tr>
      <w:tr w14:paraId="295D7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876" w:type="dxa"/>
            <w:vAlign w:val="center"/>
          </w:tcPr>
          <w:p w14:paraId="1A488B32">
            <w:pPr>
              <w:jc w:val="center"/>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2.2.3</w:t>
            </w:r>
          </w:p>
        </w:tc>
        <w:tc>
          <w:tcPr>
            <w:tcW w:w="1075" w:type="dxa"/>
            <w:vAlign w:val="center"/>
          </w:tcPr>
          <w:p w14:paraId="18B60FD6">
            <w:pPr>
              <w:jc w:val="center"/>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评标价的偏差率</w:t>
            </w:r>
          </w:p>
          <w:p w14:paraId="0396BC5E">
            <w:pPr>
              <w:jc w:val="center"/>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计算公式</w:t>
            </w:r>
          </w:p>
        </w:tc>
        <w:tc>
          <w:tcPr>
            <w:tcW w:w="7157" w:type="dxa"/>
            <w:vAlign w:val="center"/>
          </w:tcPr>
          <w:p w14:paraId="5817240F">
            <w:pPr>
              <w:ind w:left="210" w:hanging="210" w:hangingChars="100"/>
              <w:rPr>
                <w:rFonts w:ascii="Garamond" w:hAnsi="Garamond"/>
                <w:color w:val="000000" w:themeColor="text1"/>
                <w:szCs w:val="21"/>
                <w:highlight w:val="none"/>
                <w14:textFill>
                  <w14:solidFill>
                    <w14:schemeClr w14:val="tx1"/>
                  </w14:solidFill>
                </w14:textFill>
              </w:rPr>
            </w:pPr>
            <w:r>
              <w:rPr>
                <w:rFonts w:hint="eastAsia" w:ascii="Garamond" w:hAnsi="Garamond"/>
                <w:color w:val="000000" w:themeColor="text1"/>
                <w:szCs w:val="21"/>
                <w:highlight w:val="none"/>
                <w14:textFill>
                  <w14:solidFill>
                    <w14:schemeClr w14:val="tx1"/>
                  </w14:solidFill>
                </w14:textFill>
              </w:rPr>
              <w:t>偏差率=100%×（投标人评标价-评标基准价）/评标基准价</w:t>
            </w:r>
          </w:p>
        </w:tc>
      </w:tr>
    </w:tbl>
    <w:p w14:paraId="5778BDAD">
      <w:pPr>
        <w:rPr>
          <w:rFonts w:ascii="Garamond" w:hAnsi="Garamond"/>
          <w:color w:val="000000" w:themeColor="text1"/>
          <w:sz w:val="18"/>
          <w:szCs w:val="18"/>
          <w:highlight w:val="none"/>
          <w14:textFill>
            <w14:solidFill>
              <w14:schemeClr w14:val="tx1"/>
            </w14:solidFill>
          </w14:textFill>
        </w:rPr>
      </w:pPr>
    </w:p>
    <w:tbl>
      <w:tblPr>
        <w:tblStyle w:val="47"/>
        <w:tblW w:w="9335"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38" w:type="dxa"/>
          <w:left w:w="70" w:type="dxa"/>
          <w:bottom w:w="10" w:type="dxa"/>
          <w:right w:w="0" w:type="dxa"/>
        </w:tblCellMar>
      </w:tblPr>
      <w:tblGrid>
        <w:gridCol w:w="972"/>
        <w:gridCol w:w="709"/>
        <w:gridCol w:w="560"/>
        <w:gridCol w:w="857"/>
        <w:gridCol w:w="1160"/>
        <w:gridCol w:w="683"/>
        <w:gridCol w:w="167"/>
        <w:gridCol w:w="547"/>
        <w:gridCol w:w="3680"/>
      </w:tblGrid>
      <w:tr w14:paraId="0429D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38" w:type="dxa"/>
            <w:left w:w="70" w:type="dxa"/>
            <w:bottom w:w="10" w:type="dxa"/>
            <w:right w:w="0" w:type="dxa"/>
          </w:tblCellMar>
        </w:tblPrEx>
        <w:trPr>
          <w:trHeight w:val="300" w:hRule="atLeast"/>
        </w:trPr>
        <w:tc>
          <w:tcPr>
            <w:tcW w:w="972" w:type="dxa"/>
            <w:vMerge w:val="restart"/>
            <w:vAlign w:val="center"/>
          </w:tcPr>
          <w:p w14:paraId="2FB40B49">
            <w:pPr>
              <w:spacing w:line="259" w:lineRule="auto"/>
              <w:ind w:right="7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条款号</w:t>
            </w:r>
          </w:p>
        </w:tc>
        <w:tc>
          <w:tcPr>
            <w:tcW w:w="4683" w:type="dxa"/>
            <w:gridSpan w:val="7"/>
            <w:vAlign w:val="center"/>
          </w:tcPr>
          <w:p w14:paraId="47EE0FAE">
            <w:pPr>
              <w:spacing w:line="259" w:lineRule="auto"/>
              <w:ind w:right="7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评分因素与权重分值</w:t>
            </w:r>
          </w:p>
        </w:tc>
        <w:tc>
          <w:tcPr>
            <w:tcW w:w="3680" w:type="dxa"/>
            <w:vMerge w:val="restart"/>
            <w:vAlign w:val="center"/>
          </w:tcPr>
          <w:p w14:paraId="21D9A69C">
            <w:pPr>
              <w:spacing w:after="14" w:line="259" w:lineRule="auto"/>
              <w:ind w:left="94"/>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评分标准</w:t>
            </w:r>
          </w:p>
        </w:tc>
      </w:tr>
      <w:tr w14:paraId="092E9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38" w:type="dxa"/>
            <w:left w:w="70" w:type="dxa"/>
            <w:bottom w:w="10" w:type="dxa"/>
            <w:right w:w="0" w:type="dxa"/>
          </w:tblCellMar>
        </w:tblPrEx>
        <w:trPr>
          <w:trHeight w:val="889" w:hRule="atLeast"/>
        </w:trPr>
        <w:tc>
          <w:tcPr>
            <w:tcW w:w="972" w:type="dxa"/>
            <w:vMerge w:val="continue"/>
            <w:vAlign w:val="bottom"/>
          </w:tcPr>
          <w:p w14:paraId="6B6ED743">
            <w:pPr>
              <w:spacing w:after="160" w:line="259" w:lineRule="auto"/>
              <w:rPr>
                <w:rFonts w:hint="eastAsia" w:ascii="宋体" w:hAnsi="宋体" w:eastAsia="宋体" w:cs="宋体"/>
                <w:sz w:val="21"/>
                <w:szCs w:val="21"/>
                <w:highlight w:val="none"/>
              </w:rPr>
            </w:pPr>
          </w:p>
        </w:tc>
        <w:tc>
          <w:tcPr>
            <w:tcW w:w="1269" w:type="dxa"/>
            <w:gridSpan w:val="2"/>
            <w:vAlign w:val="center"/>
          </w:tcPr>
          <w:p w14:paraId="2C54FDCB">
            <w:pPr>
              <w:spacing w:line="259"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评分因素</w:t>
            </w:r>
          </w:p>
        </w:tc>
        <w:tc>
          <w:tcPr>
            <w:tcW w:w="857" w:type="dxa"/>
            <w:vAlign w:val="center"/>
          </w:tcPr>
          <w:p w14:paraId="16AA8760">
            <w:pPr>
              <w:spacing w:line="259"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评分因素权重分值</w:t>
            </w:r>
          </w:p>
        </w:tc>
        <w:tc>
          <w:tcPr>
            <w:tcW w:w="1843" w:type="dxa"/>
            <w:gridSpan w:val="2"/>
            <w:vAlign w:val="center"/>
          </w:tcPr>
          <w:p w14:paraId="7BBCBEDD">
            <w:pPr>
              <w:spacing w:line="259" w:lineRule="auto"/>
              <w:ind w:right="6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各评分因素细分项</w:t>
            </w:r>
          </w:p>
        </w:tc>
        <w:tc>
          <w:tcPr>
            <w:tcW w:w="714" w:type="dxa"/>
            <w:gridSpan w:val="2"/>
            <w:vAlign w:val="center"/>
          </w:tcPr>
          <w:p w14:paraId="29081FE7">
            <w:pPr>
              <w:spacing w:line="259"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分值</w:t>
            </w:r>
          </w:p>
        </w:tc>
        <w:tc>
          <w:tcPr>
            <w:tcW w:w="3680" w:type="dxa"/>
            <w:vMerge w:val="continue"/>
            <w:vAlign w:val="bottom"/>
          </w:tcPr>
          <w:p w14:paraId="1887621D">
            <w:pPr>
              <w:spacing w:after="160" w:line="259" w:lineRule="auto"/>
              <w:rPr>
                <w:rFonts w:hint="eastAsia" w:ascii="宋体" w:hAnsi="宋体" w:eastAsia="宋体" w:cs="宋体"/>
                <w:sz w:val="21"/>
                <w:szCs w:val="21"/>
                <w:highlight w:val="none"/>
              </w:rPr>
            </w:pPr>
          </w:p>
        </w:tc>
      </w:tr>
      <w:tr w14:paraId="6EF18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38" w:type="dxa"/>
            <w:left w:w="70" w:type="dxa"/>
            <w:bottom w:w="10" w:type="dxa"/>
            <w:right w:w="0" w:type="dxa"/>
          </w:tblCellMar>
        </w:tblPrEx>
        <w:trPr>
          <w:trHeight w:val="746" w:hRule="atLeast"/>
        </w:trPr>
        <w:tc>
          <w:tcPr>
            <w:tcW w:w="972" w:type="dxa"/>
            <w:vMerge w:val="restart"/>
            <w:vAlign w:val="center"/>
          </w:tcPr>
          <w:p w14:paraId="4D9570FD">
            <w:pPr>
              <w:spacing w:line="259" w:lineRule="auto"/>
              <w:ind w:right="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2.2.4（1）</w:t>
            </w:r>
          </w:p>
        </w:tc>
        <w:tc>
          <w:tcPr>
            <w:tcW w:w="1269" w:type="dxa"/>
            <w:gridSpan w:val="2"/>
            <w:vMerge w:val="restart"/>
            <w:vAlign w:val="center"/>
          </w:tcPr>
          <w:p w14:paraId="2658EA61">
            <w:pPr>
              <w:spacing w:line="259" w:lineRule="auto"/>
              <w:ind w:left="74"/>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技术建议书</w:t>
            </w:r>
          </w:p>
        </w:tc>
        <w:tc>
          <w:tcPr>
            <w:tcW w:w="857" w:type="dxa"/>
            <w:vMerge w:val="restart"/>
            <w:vAlign w:val="center"/>
          </w:tcPr>
          <w:p w14:paraId="69BFFB40">
            <w:pPr>
              <w:spacing w:line="259" w:lineRule="auto"/>
              <w:ind w:right="103"/>
              <w:jc w:val="center"/>
              <w:rPr>
                <w:rFonts w:hint="eastAsia" w:ascii="宋体" w:hAnsi="宋体" w:eastAsia="宋体" w:cs="宋体"/>
                <w:sz w:val="21"/>
                <w:szCs w:val="21"/>
                <w:highlight w:val="none"/>
              </w:rPr>
            </w:pPr>
            <w:r>
              <w:rPr>
                <w:rFonts w:hint="eastAsia" w:ascii="宋体" w:hAnsi="宋体" w:eastAsia="宋体" w:cs="宋体"/>
                <w:b w:val="0"/>
                <w:bCs/>
                <w:sz w:val="21"/>
                <w:szCs w:val="21"/>
                <w:highlight w:val="none"/>
                <w:u w:val="single" w:color="000000"/>
              </w:rPr>
              <w:t>45</w:t>
            </w:r>
            <w:r>
              <w:rPr>
                <w:rFonts w:hint="eastAsia" w:ascii="宋体" w:hAnsi="宋体" w:eastAsia="宋体" w:cs="宋体"/>
                <w:b w:val="0"/>
                <w:bCs/>
                <w:sz w:val="21"/>
                <w:szCs w:val="21"/>
                <w:highlight w:val="none"/>
              </w:rPr>
              <w:t>分</w:t>
            </w:r>
          </w:p>
        </w:tc>
        <w:tc>
          <w:tcPr>
            <w:tcW w:w="1843" w:type="dxa"/>
            <w:gridSpan w:val="2"/>
          </w:tcPr>
          <w:p w14:paraId="704B0C94">
            <w:pPr>
              <w:spacing w:line="259"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对项目的理解和总体思路</w:t>
            </w:r>
          </w:p>
        </w:tc>
        <w:tc>
          <w:tcPr>
            <w:tcW w:w="714" w:type="dxa"/>
            <w:gridSpan w:val="2"/>
            <w:vAlign w:val="center"/>
          </w:tcPr>
          <w:p w14:paraId="391E7464">
            <w:pPr>
              <w:spacing w:line="259" w:lineRule="auto"/>
              <w:ind w:right="106"/>
              <w:jc w:val="center"/>
              <w:rPr>
                <w:rFonts w:hint="eastAsia" w:ascii="宋体" w:hAnsi="宋体" w:eastAsia="宋体" w:cs="宋体"/>
                <w:sz w:val="21"/>
                <w:szCs w:val="21"/>
                <w:highlight w:val="none"/>
              </w:rPr>
            </w:pPr>
            <w:r>
              <w:rPr>
                <w:rFonts w:hint="eastAsia" w:ascii="宋体" w:hAnsi="宋体" w:eastAsia="宋体" w:cs="宋体"/>
                <w:sz w:val="21"/>
                <w:szCs w:val="21"/>
                <w:highlight w:val="none"/>
                <w:u w:val="single" w:color="000000"/>
              </w:rPr>
              <w:t>10</w:t>
            </w:r>
            <w:r>
              <w:rPr>
                <w:rFonts w:hint="eastAsia" w:ascii="宋体" w:hAnsi="宋体" w:eastAsia="宋体" w:cs="宋体"/>
                <w:sz w:val="21"/>
                <w:szCs w:val="21"/>
                <w:highlight w:val="none"/>
              </w:rPr>
              <w:t>分</w:t>
            </w:r>
          </w:p>
        </w:tc>
        <w:tc>
          <w:tcPr>
            <w:tcW w:w="3680" w:type="dxa"/>
            <w:vAlign w:val="center"/>
          </w:tcPr>
          <w:p w14:paraId="07899D8C">
            <w:pPr>
              <w:spacing w:line="259"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从对招标项目的理解、总体设计思路等方面酌情评分，得分低于60%时说明理由。</w:t>
            </w:r>
          </w:p>
        </w:tc>
      </w:tr>
      <w:tr w14:paraId="278A6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38" w:type="dxa"/>
            <w:left w:w="70" w:type="dxa"/>
            <w:bottom w:w="10" w:type="dxa"/>
            <w:right w:w="0" w:type="dxa"/>
          </w:tblCellMar>
        </w:tblPrEx>
        <w:trPr>
          <w:trHeight w:val="1084" w:hRule="atLeast"/>
        </w:trPr>
        <w:tc>
          <w:tcPr>
            <w:tcW w:w="972" w:type="dxa"/>
            <w:vMerge w:val="continue"/>
            <w:vAlign w:val="bottom"/>
          </w:tcPr>
          <w:p w14:paraId="06A88E8E">
            <w:pPr>
              <w:spacing w:after="160" w:line="259" w:lineRule="auto"/>
              <w:rPr>
                <w:rFonts w:hint="eastAsia" w:ascii="宋体" w:hAnsi="宋体" w:eastAsia="宋体" w:cs="宋体"/>
                <w:sz w:val="21"/>
                <w:szCs w:val="21"/>
                <w:highlight w:val="none"/>
              </w:rPr>
            </w:pPr>
          </w:p>
        </w:tc>
        <w:tc>
          <w:tcPr>
            <w:tcW w:w="1269" w:type="dxa"/>
            <w:gridSpan w:val="2"/>
            <w:vMerge w:val="continue"/>
          </w:tcPr>
          <w:p w14:paraId="3EE2208D">
            <w:pPr>
              <w:spacing w:after="160" w:line="259" w:lineRule="auto"/>
              <w:rPr>
                <w:rFonts w:hint="eastAsia" w:ascii="宋体" w:hAnsi="宋体" w:eastAsia="宋体" w:cs="宋体"/>
                <w:sz w:val="21"/>
                <w:szCs w:val="21"/>
                <w:highlight w:val="none"/>
              </w:rPr>
            </w:pPr>
          </w:p>
        </w:tc>
        <w:tc>
          <w:tcPr>
            <w:tcW w:w="857" w:type="dxa"/>
            <w:vMerge w:val="continue"/>
            <w:vAlign w:val="center"/>
          </w:tcPr>
          <w:p w14:paraId="0B0DF6A5">
            <w:pPr>
              <w:spacing w:after="160" w:line="259" w:lineRule="auto"/>
              <w:rPr>
                <w:rFonts w:hint="eastAsia" w:ascii="宋体" w:hAnsi="宋体" w:eastAsia="宋体" w:cs="宋体"/>
                <w:sz w:val="21"/>
                <w:szCs w:val="21"/>
                <w:highlight w:val="none"/>
              </w:rPr>
            </w:pPr>
          </w:p>
        </w:tc>
        <w:tc>
          <w:tcPr>
            <w:tcW w:w="1843" w:type="dxa"/>
            <w:gridSpan w:val="2"/>
          </w:tcPr>
          <w:p w14:paraId="686782B9">
            <w:pPr>
              <w:spacing w:line="259"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招标项目的特点、关键技术问题的认识及其对策措施</w:t>
            </w:r>
          </w:p>
        </w:tc>
        <w:tc>
          <w:tcPr>
            <w:tcW w:w="714" w:type="dxa"/>
            <w:gridSpan w:val="2"/>
            <w:vAlign w:val="center"/>
          </w:tcPr>
          <w:p w14:paraId="5B3EB192">
            <w:pPr>
              <w:spacing w:line="259" w:lineRule="auto"/>
              <w:ind w:right="106"/>
              <w:jc w:val="center"/>
              <w:rPr>
                <w:rFonts w:hint="eastAsia" w:ascii="宋体" w:hAnsi="宋体" w:eastAsia="宋体" w:cs="宋体"/>
                <w:sz w:val="21"/>
                <w:szCs w:val="21"/>
                <w:highlight w:val="none"/>
              </w:rPr>
            </w:pPr>
            <w:r>
              <w:rPr>
                <w:rFonts w:hint="eastAsia" w:ascii="宋体" w:hAnsi="宋体" w:eastAsia="宋体" w:cs="宋体"/>
                <w:sz w:val="21"/>
                <w:szCs w:val="21"/>
                <w:highlight w:val="none"/>
                <w:u w:val="single" w:color="000000"/>
              </w:rPr>
              <w:t>20</w:t>
            </w:r>
            <w:r>
              <w:rPr>
                <w:rFonts w:hint="eastAsia" w:ascii="宋体" w:hAnsi="宋体" w:eastAsia="宋体" w:cs="宋体"/>
                <w:sz w:val="21"/>
                <w:szCs w:val="21"/>
                <w:highlight w:val="none"/>
              </w:rPr>
              <w:t>分</w:t>
            </w:r>
          </w:p>
        </w:tc>
        <w:tc>
          <w:tcPr>
            <w:tcW w:w="3680" w:type="dxa"/>
            <w:vAlign w:val="center"/>
          </w:tcPr>
          <w:p w14:paraId="0F6850F4">
            <w:pPr>
              <w:spacing w:line="259"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从对招标项目设计的特点关键技术问题、重点、难点的对认识及对策措施等方面酌情评分，得分低于60%时说明理由。</w:t>
            </w:r>
          </w:p>
        </w:tc>
      </w:tr>
      <w:tr w14:paraId="1F270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38" w:type="dxa"/>
            <w:left w:w="70" w:type="dxa"/>
            <w:bottom w:w="10" w:type="dxa"/>
            <w:right w:w="0" w:type="dxa"/>
          </w:tblCellMar>
        </w:tblPrEx>
        <w:trPr>
          <w:trHeight w:val="389" w:hRule="atLeast"/>
        </w:trPr>
        <w:tc>
          <w:tcPr>
            <w:tcW w:w="972" w:type="dxa"/>
            <w:vMerge w:val="continue"/>
            <w:vAlign w:val="bottom"/>
          </w:tcPr>
          <w:p w14:paraId="0F66416D">
            <w:pPr>
              <w:spacing w:after="160" w:line="259" w:lineRule="auto"/>
              <w:rPr>
                <w:rFonts w:hint="eastAsia" w:ascii="宋体" w:hAnsi="宋体" w:eastAsia="宋体" w:cs="宋体"/>
                <w:sz w:val="21"/>
                <w:szCs w:val="21"/>
                <w:highlight w:val="none"/>
              </w:rPr>
            </w:pPr>
          </w:p>
        </w:tc>
        <w:tc>
          <w:tcPr>
            <w:tcW w:w="1269" w:type="dxa"/>
            <w:gridSpan w:val="2"/>
            <w:vMerge w:val="continue"/>
            <w:vAlign w:val="bottom"/>
          </w:tcPr>
          <w:p w14:paraId="57684A4C">
            <w:pPr>
              <w:spacing w:after="160" w:line="259" w:lineRule="auto"/>
              <w:rPr>
                <w:rFonts w:hint="eastAsia" w:ascii="宋体" w:hAnsi="宋体" w:eastAsia="宋体" w:cs="宋体"/>
                <w:sz w:val="21"/>
                <w:szCs w:val="21"/>
                <w:highlight w:val="none"/>
              </w:rPr>
            </w:pPr>
          </w:p>
        </w:tc>
        <w:tc>
          <w:tcPr>
            <w:tcW w:w="857" w:type="dxa"/>
            <w:vMerge w:val="continue"/>
            <w:vAlign w:val="bottom"/>
          </w:tcPr>
          <w:p w14:paraId="21CBD70C">
            <w:pPr>
              <w:spacing w:after="160" w:line="259" w:lineRule="auto"/>
              <w:rPr>
                <w:rFonts w:hint="eastAsia" w:ascii="宋体" w:hAnsi="宋体" w:eastAsia="宋体" w:cs="宋体"/>
                <w:sz w:val="21"/>
                <w:szCs w:val="21"/>
                <w:highlight w:val="none"/>
              </w:rPr>
            </w:pPr>
          </w:p>
        </w:tc>
        <w:tc>
          <w:tcPr>
            <w:tcW w:w="1843" w:type="dxa"/>
            <w:gridSpan w:val="2"/>
          </w:tcPr>
          <w:p w14:paraId="16BB9D07">
            <w:pPr>
              <w:spacing w:line="259"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工作量及计划安排</w:t>
            </w:r>
          </w:p>
        </w:tc>
        <w:tc>
          <w:tcPr>
            <w:tcW w:w="714" w:type="dxa"/>
            <w:gridSpan w:val="2"/>
            <w:vAlign w:val="center"/>
          </w:tcPr>
          <w:p w14:paraId="1AA400B5">
            <w:pPr>
              <w:spacing w:line="259" w:lineRule="auto"/>
              <w:ind w:right="106"/>
              <w:jc w:val="center"/>
              <w:rPr>
                <w:rFonts w:hint="eastAsia" w:ascii="宋体" w:hAnsi="宋体" w:eastAsia="宋体" w:cs="宋体"/>
                <w:sz w:val="21"/>
                <w:szCs w:val="21"/>
                <w:highlight w:val="none"/>
              </w:rPr>
            </w:pPr>
            <w:r>
              <w:rPr>
                <w:rFonts w:hint="eastAsia" w:ascii="宋体" w:hAnsi="宋体" w:eastAsia="宋体" w:cs="宋体"/>
                <w:sz w:val="21"/>
                <w:szCs w:val="21"/>
                <w:highlight w:val="none"/>
                <w:u w:val="single" w:color="000000"/>
              </w:rPr>
              <w:t>5</w:t>
            </w:r>
            <w:r>
              <w:rPr>
                <w:rFonts w:hint="eastAsia" w:ascii="宋体" w:hAnsi="宋体" w:eastAsia="宋体" w:cs="宋体"/>
                <w:sz w:val="21"/>
                <w:szCs w:val="21"/>
                <w:highlight w:val="none"/>
              </w:rPr>
              <w:t>分</w:t>
            </w:r>
          </w:p>
        </w:tc>
        <w:tc>
          <w:tcPr>
            <w:tcW w:w="3680" w:type="dxa"/>
            <w:vAlign w:val="center"/>
          </w:tcPr>
          <w:p w14:paraId="7E91DE3A">
            <w:pPr>
              <w:spacing w:line="259"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从各投标人的工作量及计划安排科学性、合理性等方面酌情评分，得分低于60%时说明理由。</w:t>
            </w:r>
          </w:p>
        </w:tc>
      </w:tr>
      <w:tr w14:paraId="0285F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38" w:type="dxa"/>
            <w:left w:w="70" w:type="dxa"/>
            <w:bottom w:w="10" w:type="dxa"/>
            <w:right w:w="0" w:type="dxa"/>
          </w:tblCellMar>
        </w:tblPrEx>
        <w:trPr>
          <w:trHeight w:val="811" w:hRule="atLeast"/>
        </w:trPr>
        <w:tc>
          <w:tcPr>
            <w:tcW w:w="972" w:type="dxa"/>
            <w:vMerge w:val="continue"/>
            <w:vAlign w:val="bottom"/>
          </w:tcPr>
          <w:p w14:paraId="2AD00426">
            <w:pPr>
              <w:spacing w:after="160" w:line="259" w:lineRule="auto"/>
              <w:rPr>
                <w:rFonts w:hint="eastAsia" w:ascii="宋体" w:hAnsi="宋体" w:eastAsia="宋体" w:cs="宋体"/>
                <w:sz w:val="21"/>
                <w:szCs w:val="21"/>
                <w:highlight w:val="none"/>
              </w:rPr>
            </w:pPr>
          </w:p>
        </w:tc>
        <w:tc>
          <w:tcPr>
            <w:tcW w:w="1269" w:type="dxa"/>
            <w:gridSpan w:val="2"/>
            <w:vMerge w:val="continue"/>
            <w:vAlign w:val="center"/>
          </w:tcPr>
          <w:p w14:paraId="69583072">
            <w:pPr>
              <w:spacing w:after="160" w:line="259" w:lineRule="auto"/>
              <w:rPr>
                <w:rFonts w:hint="eastAsia" w:ascii="宋体" w:hAnsi="宋体" w:eastAsia="宋体" w:cs="宋体"/>
                <w:sz w:val="21"/>
                <w:szCs w:val="21"/>
                <w:highlight w:val="none"/>
              </w:rPr>
            </w:pPr>
          </w:p>
        </w:tc>
        <w:tc>
          <w:tcPr>
            <w:tcW w:w="857" w:type="dxa"/>
            <w:vMerge w:val="continue"/>
            <w:vAlign w:val="center"/>
          </w:tcPr>
          <w:p w14:paraId="5EF3120F">
            <w:pPr>
              <w:spacing w:after="160" w:line="259" w:lineRule="auto"/>
              <w:rPr>
                <w:rFonts w:hint="eastAsia" w:ascii="宋体" w:hAnsi="宋体" w:eastAsia="宋体" w:cs="宋体"/>
                <w:sz w:val="21"/>
                <w:szCs w:val="21"/>
                <w:highlight w:val="none"/>
              </w:rPr>
            </w:pPr>
          </w:p>
        </w:tc>
        <w:tc>
          <w:tcPr>
            <w:tcW w:w="1843" w:type="dxa"/>
            <w:gridSpan w:val="2"/>
          </w:tcPr>
          <w:p w14:paraId="48615F98">
            <w:pPr>
              <w:spacing w:line="259"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质量保证措施、进度保证措施</w:t>
            </w:r>
          </w:p>
        </w:tc>
        <w:tc>
          <w:tcPr>
            <w:tcW w:w="714" w:type="dxa"/>
            <w:gridSpan w:val="2"/>
            <w:vAlign w:val="center"/>
          </w:tcPr>
          <w:p w14:paraId="379198F2">
            <w:pPr>
              <w:spacing w:line="259" w:lineRule="auto"/>
              <w:ind w:right="106"/>
              <w:jc w:val="center"/>
              <w:rPr>
                <w:rFonts w:hint="eastAsia" w:ascii="宋体" w:hAnsi="宋体" w:eastAsia="宋体" w:cs="宋体"/>
                <w:sz w:val="21"/>
                <w:szCs w:val="21"/>
                <w:highlight w:val="none"/>
              </w:rPr>
            </w:pPr>
            <w:r>
              <w:rPr>
                <w:rFonts w:hint="eastAsia" w:ascii="宋体" w:hAnsi="宋体" w:eastAsia="宋体" w:cs="宋体"/>
                <w:sz w:val="21"/>
                <w:szCs w:val="21"/>
                <w:highlight w:val="none"/>
                <w:u w:val="single" w:color="000000"/>
              </w:rPr>
              <w:t>5</w:t>
            </w:r>
            <w:r>
              <w:rPr>
                <w:rFonts w:hint="eastAsia" w:ascii="宋体" w:hAnsi="宋体" w:eastAsia="宋体" w:cs="宋体"/>
                <w:sz w:val="21"/>
                <w:szCs w:val="21"/>
                <w:highlight w:val="none"/>
              </w:rPr>
              <w:t>分</w:t>
            </w:r>
          </w:p>
        </w:tc>
        <w:tc>
          <w:tcPr>
            <w:tcW w:w="3680" w:type="dxa"/>
            <w:vAlign w:val="center"/>
          </w:tcPr>
          <w:p w14:paraId="02DECE5F">
            <w:pPr>
              <w:spacing w:line="259"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从各投标人的质量保证措施、进度保证措施等方面酌情评分，得分低于60%时说明理由。</w:t>
            </w:r>
          </w:p>
        </w:tc>
      </w:tr>
      <w:tr w14:paraId="7C40B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38" w:type="dxa"/>
            <w:left w:w="70" w:type="dxa"/>
            <w:bottom w:w="10" w:type="dxa"/>
            <w:right w:w="0" w:type="dxa"/>
          </w:tblCellMar>
        </w:tblPrEx>
        <w:trPr>
          <w:trHeight w:val="394" w:hRule="atLeast"/>
        </w:trPr>
        <w:tc>
          <w:tcPr>
            <w:tcW w:w="972" w:type="dxa"/>
            <w:vMerge w:val="continue"/>
            <w:vAlign w:val="bottom"/>
          </w:tcPr>
          <w:p w14:paraId="6C1879BE">
            <w:pPr>
              <w:spacing w:after="160" w:line="259" w:lineRule="auto"/>
              <w:rPr>
                <w:rFonts w:hint="eastAsia" w:ascii="宋体" w:hAnsi="宋体" w:eastAsia="宋体" w:cs="宋体"/>
                <w:sz w:val="21"/>
                <w:szCs w:val="21"/>
                <w:highlight w:val="none"/>
              </w:rPr>
            </w:pPr>
          </w:p>
        </w:tc>
        <w:tc>
          <w:tcPr>
            <w:tcW w:w="1269" w:type="dxa"/>
            <w:gridSpan w:val="2"/>
            <w:vMerge w:val="continue"/>
            <w:vAlign w:val="bottom"/>
          </w:tcPr>
          <w:p w14:paraId="18B97175">
            <w:pPr>
              <w:spacing w:after="160" w:line="259" w:lineRule="auto"/>
              <w:rPr>
                <w:rFonts w:hint="eastAsia" w:ascii="宋体" w:hAnsi="宋体" w:eastAsia="宋体" w:cs="宋体"/>
                <w:sz w:val="21"/>
                <w:szCs w:val="21"/>
                <w:highlight w:val="none"/>
              </w:rPr>
            </w:pPr>
          </w:p>
        </w:tc>
        <w:tc>
          <w:tcPr>
            <w:tcW w:w="857" w:type="dxa"/>
            <w:vMerge w:val="continue"/>
            <w:vAlign w:val="bottom"/>
          </w:tcPr>
          <w:p w14:paraId="64075970">
            <w:pPr>
              <w:spacing w:after="160" w:line="259" w:lineRule="auto"/>
              <w:rPr>
                <w:rFonts w:hint="eastAsia" w:ascii="宋体" w:hAnsi="宋体" w:eastAsia="宋体" w:cs="宋体"/>
                <w:sz w:val="21"/>
                <w:szCs w:val="21"/>
                <w:highlight w:val="none"/>
              </w:rPr>
            </w:pPr>
          </w:p>
        </w:tc>
        <w:tc>
          <w:tcPr>
            <w:tcW w:w="1843" w:type="dxa"/>
            <w:gridSpan w:val="2"/>
          </w:tcPr>
          <w:p w14:paraId="5902C01F">
            <w:pPr>
              <w:spacing w:line="259"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后续服务的安排及保证措施</w:t>
            </w:r>
          </w:p>
        </w:tc>
        <w:tc>
          <w:tcPr>
            <w:tcW w:w="714" w:type="dxa"/>
            <w:gridSpan w:val="2"/>
            <w:vAlign w:val="center"/>
          </w:tcPr>
          <w:p w14:paraId="1B476B64">
            <w:pPr>
              <w:spacing w:line="259" w:lineRule="auto"/>
              <w:ind w:right="106"/>
              <w:jc w:val="center"/>
              <w:rPr>
                <w:rFonts w:hint="eastAsia" w:ascii="宋体" w:hAnsi="宋体" w:eastAsia="宋体" w:cs="宋体"/>
                <w:sz w:val="21"/>
                <w:szCs w:val="21"/>
                <w:highlight w:val="none"/>
              </w:rPr>
            </w:pPr>
            <w:r>
              <w:rPr>
                <w:rFonts w:hint="eastAsia" w:ascii="宋体" w:hAnsi="宋体" w:eastAsia="宋体" w:cs="宋体"/>
                <w:sz w:val="21"/>
                <w:szCs w:val="21"/>
                <w:highlight w:val="none"/>
                <w:u w:val="single" w:color="000000"/>
              </w:rPr>
              <w:t>5</w:t>
            </w:r>
            <w:r>
              <w:rPr>
                <w:rFonts w:hint="eastAsia" w:ascii="宋体" w:hAnsi="宋体" w:eastAsia="宋体" w:cs="宋体"/>
                <w:sz w:val="21"/>
                <w:szCs w:val="21"/>
                <w:highlight w:val="none"/>
              </w:rPr>
              <w:t>分</w:t>
            </w:r>
          </w:p>
        </w:tc>
        <w:tc>
          <w:tcPr>
            <w:tcW w:w="3680" w:type="dxa"/>
            <w:vAlign w:val="center"/>
          </w:tcPr>
          <w:p w14:paraId="458C4134">
            <w:pPr>
              <w:spacing w:line="259"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从各投标人投入的后续服务人员、后续服务的内容以及后续服务承诺等方面酌情评分，得分低于60%时说明理由。</w:t>
            </w:r>
          </w:p>
        </w:tc>
      </w:tr>
      <w:tr w14:paraId="43439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38" w:type="dxa"/>
            <w:left w:w="70" w:type="dxa"/>
            <w:bottom w:w="10" w:type="dxa"/>
            <w:right w:w="0" w:type="dxa"/>
          </w:tblCellMar>
        </w:tblPrEx>
        <w:trPr>
          <w:trHeight w:val="1231" w:hRule="atLeast"/>
        </w:trPr>
        <w:tc>
          <w:tcPr>
            <w:tcW w:w="972" w:type="dxa"/>
            <w:vAlign w:val="center"/>
          </w:tcPr>
          <w:p w14:paraId="3CA05A2C">
            <w:pPr>
              <w:spacing w:line="259" w:lineRule="auto"/>
              <w:ind w:right="72"/>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2.2.4（2）</w:t>
            </w:r>
          </w:p>
        </w:tc>
        <w:tc>
          <w:tcPr>
            <w:tcW w:w="1269" w:type="dxa"/>
            <w:gridSpan w:val="2"/>
            <w:vAlign w:val="center"/>
          </w:tcPr>
          <w:p w14:paraId="7A86A456">
            <w:pPr>
              <w:spacing w:line="259" w:lineRule="auto"/>
              <w:ind w:left="18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主要人员</w:t>
            </w:r>
          </w:p>
        </w:tc>
        <w:tc>
          <w:tcPr>
            <w:tcW w:w="857" w:type="dxa"/>
            <w:vAlign w:val="center"/>
          </w:tcPr>
          <w:p w14:paraId="58F99A6E">
            <w:pPr>
              <w:spacing w:line="259" w:lineRule="auto"/>
              <w:ind w:right="103"/>
              <w:jc w:val="center"/>
              <w:rPr>
                <w:rFonts w:hint="eastAsia" w:ascii="宋体" w:hAnsi="宋体" w:eastAsia="宋体" w:cs="宋体"/>
                <w:sz w:val="21"/>
                <w:szCs w:val="21"/>
                <w:highlight w:val="none"/>
              </w:rPr>
            </w:pPr>
            <w:r>
              <w:rPr>
                <w:rFonts w:hint="eastAsia" w:ascii="宋体" w:hAnsi="宋体" w:eastAsia="宋体" w:cs="宋体"/>
                <w:b w:val="0"/>
                <w:bCs/>
                <w:sz w:val="21"/>
                <w:szCs w:val="21"/>
                <w:highlight w:val="none"/>
                <w:u w:val="single" w:color="000000"/>
              </w:rPr>
              <w:t>20</w:t>
            </w:r>
            <w:r>
              <w:rPr>
                <w:rFonts w:hint="eastAsia" w:ascii="宋体" w:hAnsi="宋体" w:eastAsia="宋体" w:cs="宋体"/>
                <w:b w:val="0"/>
                <w:bCs/>
                <w:sz w:val="21"/>
                <w:szCs w:val="21"/>
                <w:highlight w:val="none"/>
              </w:rPr>
              <w:t>分</w:t>
            </w:r>
          </w:p>
        </w:tc>
        <w:tc>
          <w:tcPr>
            <w:tcW w:w="1843" w:type="dxa"/>
            <w:gridSpan w:val="2"/>
            <w:vAlign w:val="center"/>
          </w:tcPr>
          <w:p w14:paraId="62AB9B91">
            <w:pPr>
              <w:spacing w:line="259"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拟投入本项目的人员资格和能力</w:t>
            </w:r>
          </w:p>
        </w:tc>
        <w:tc>
          <w:tcPr>
            <w:tcW w:w="714" w:type="dxa"/>
            <w:gridSpan w:val="2"/>
            <w:vAlign w:val="center"/>
          </w:tcPr>
          <w:p w14:paraId="68454BF8">
            <w:pPr>
              <w:spacing w:line="259"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u w:val="single" w:color="000000"/>
              </w:rPr>
              <w:t>20</w:t>
            </w:r>
            <w:r>
              <w:rPr>
                <w:rFonts w:hint="eastAsia" w:ascii="宋体" w:hAnsi="宋体" w:eastAsia="宋体" w:cs="宋体"/>
                <w:sz w:val="21"/>
                <w:szCs w:val="21"/>
                <w:highlight w:val="none"/>
              </w:rPr>
              <w:t>分</w:t>
            </w:r>
          </w:p>
        </w:tc>
        <w:tc>
          <w:tcPr>
            <w:tcW w:w="3680" w:type="dxa"/>
            <w:vAlign w:val="center"/>
          </w:tcPr>
          <w:p w14:paraId="69197C42">
            <w:pPr>
              <w:spacing w:line="259"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项目负责人满足资格条件要求的得基本分12分。在此基础上，每增加一个满足资格条件要求的业绩加4分，最多加8分。</w:t>
            </w:r>
          </w:p>
        </w:tc>
      </w:tr>
      <w:tr w14:paraId="15D51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38" w:type="dxa"/>
            <w:left w:w="70" w:type="dxa"/>
            <w:bottom w:w="10" w:type="dxa"/>
            <w:right w:w="0" w:type="dxa"/>
          </w:tblCellMar>
        </w:tblPrEx>
        <w:trPr>
          <w:trHeight w:val="1760" w:hRule="atLeast"/>
        </w:trPr>
        <w:tc>
          <w:tcPr>
            <w:tcW w:w="972" w:type="dxa"/>
            <w:vAlign w:val="center"/>
          </w:tcPr>
          <w:p w14:paraId="0FC1F837">
            <w:pPr>
              <w:spacing w:line="259" w:lineRule="auto"/>
              <w:ind w:right="67"/>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2.2.4（3）</w:t>
            </w:r>
          </w:p>
        </w:tc>
        <w:tc>
          <w:tcPr>
            <w:tcW w:w="1269" w:type="dxa"/>
            <w:gridSpan w:val="2"/>
            <w:vAlign w:val="center"/>
          </w:tcPr>
          <w:p w14:paraId="4A302AAC">
            <w:pPr>
              <w:spacing w:line="259" w:lineRule="auto"/>
              <w:ind w:right="6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评标价</w:t>
            </w:r>
          </w:p>
        </w:tc>
        <w:tc>
          <w:tcPr>
            <w:tcW w:w="857" w:type="dxa"/>
            <w:vAlign w:val="center"/>
          </w:tcPr>
          <w:p w14:paraId="5E8169F8">
            <w:pPr>
              <w:spacing w:line="259" w:lineRule="auto"/>
              <w:ind w:right="103"/>
              <w:jc w:val="center"/>
              <w:rPr>
                <w:rFonts w:hint="eastAsia" w:ascii="宋体" w:hAnsi="宋体" w:eastAsia="宋体" w:cs="宋体"/>
                <w:sz w:val="21"/>
                <w:szCs w:val="21"/>
                <w:highlight w:val="none"/>
              </w:rPr>
            </w:pPr>
            <w:r>
              <w:rPr>
                <w:rFonts w:hint="eastAsia" w:ascii="宋体" w:hAnsi="宋体" w:eastAsia="宋体" w:cs="宋体"/>
                <w:b w:val="0"/>
                <w:bCs/>
                <w:sz w:val="21"/>
                <w:szCs w:val="21"/>
                <w:highlight w:val="none"/>
                <w:u w:val="single" w:color="000000"/>
              </w:rPr>
              <w:t>10</w:t>
            </w:r>
            <w:r>
              <w:rPr>
                <w:rFonts w:hint="eastAsia" w:ascii="宋体" w:hAnsi="宋体" w:eastAsia="宋体" w:cs="宋体"/>
                <w:b w:val="0"/>
                <w:bCs/>
                <w:sz w:val="21"/>
                <w:szCs w:val="21"/>
                <w:highlight w:val="none"/>
              </w:rPr>
              <w:t>分</w:t>
            </w:r>
          </w:p>
        </w:tc>
        <w:tc>
          <w:tcPr>
            <w:tcW w:w="6237" w:type="dxa"/>
            <w:gridSpan w:val="5"/>
            <w:vAlign w:val="center"/>
          </w:tcPr>
          <w:p w14:paraId="26DC2D29">
            <w:pPr>
              <w:rPr>
                <w:rFonts w:hint="eastAsia" w:ascii="宋体" w:hAnsi="宋体" w:eastAsia="宋体" w:cs="宋体"/>
                <w:sz w:val="21"/>
                <w:szCs w:val="21"/>
                <w:highlight w:val="none"/>
              </w:rPr>
            </w:pPr>
            <w:r>
              <w:rPr>
                <w:rFonts w:hint="eastAsia" w:ascii="宋体" w:hAnsi="宋体" w:eastAsia="宋体" w:cs="宋体"/>
                <w:sz w:val="21"/>
                <w:szCs w:val="21"/>
                <w:highlight w:val="none"/>
              </w:rPr>
              <w:t>评标价得分计算公式示例：</w:t>
            </w:r>
          </w:p>
          <w:p w14:paraId="636AA78A">
            <w:pPr>
              <w:rPr>
                <w:rFonts w:hint="eastAsia" w:ascii="宋体" w:hAnsi="宋体" w:eastAsia="宋体" w:cs="宋体"/>
                <w:sz w:val="21"/>
                <w:szCs w:val="21"/>
                <w:highlight w:val="none"/>
              </w:rPr>
            </w:pPr>
            <w:r>
              <w:rPr>
                <w:rFonts w:hint="eastAsia" w:ascii="宋体" w:hAnsi="宋体" w:eastAsia="宋体" w:cs="宋体"/>
                <w:sz w:val="21"/>
                <w:szCs w:val="21"/>
                <w:highlight w:val="none"/>
              </w:rPr>
              <w:t>如果投标人的评标价&gt;评标基准价，则评标价得分＝F－偏差率×100× E1；</w:t>
            </w:r>
          </w:p>
          <w:p w14:paraId="70EFA7F4">
            <w:pPr>
              <w:rPr>
                <w:rFonts w:hint="eastAsia" w:ascii="宋体" w:hAnsi="宋体" w:eastAsia="宋体" w:cs="宋体"/>
                <w:sz w:val="21"/>
                <w:szCs w:val="21"/>
                <w:highlight w:val="none"/>
              </w:rPr>
            </w:pPr>
            <w:r>
              <w:rPr>
                <w:rFonts w:hint="eastAsia" w:ascii="宋体" w:hAnsi="宋体" w:eastAsia="宋体" w:cs="宋体"/>
                <w:sz w:val="21"/>
                <w:szCs w:val="21"/>
                <w:highlight w:val="none"/>
              </w:rPr>
              <w:t>如果投标人的评标价≤评标基准价，则评标价得分＝F＋偏差率× 100× E2。</w:t>
            </w:r>
          </w:p>
          <w:p w14:paraId="31222D37">
            <w:pPr>
              <w:rPr>
                <w:rFonts w:hint="eastAsia" w:ascii="宋体" w:hAnsi="宋体" w:eastAsia="宋体" w:cs="宋体"/>
                <w:sz w:val="21"/>
                <w:szCs w:val="21"/>
                <w:highlight w:val="none"/>
              </w:rPr>
            </w:pPr>
            <w:r>
              <w:rPr>
                <w:rFonts w:hint="eastAsia" w:ascii="宋体" w:hAnsi="宋体" w:eastAsia="宋体" w:cs="宋体"/>
                <w:sz w:val="21"/>
                <w:szCs w:val="21"/>
                <w:highlight w:val="none"/>
              </w:rPr>
              <w:t>其中：E1 是评标价每高于评标基准价一个百分点的扣分值；E2是评标价每低于评标基准价一个百分点的扣分值。E1=0.2，E2=0.1。</w:t>
            </w:r>
          </w:p>
          <w:p w14:paraId="37559918">
            <w:pPr>
              <w:rPr>
                <w:rFonts w:hint="eastAsia" w:ascii="宋体" w:hAnsi="宋体" w:eastAsia="宋体" w:cs="宋体"/>
                <w:sz w:val="21"/>
                <w:szCs w:val="21"/>
                <w:highlight w:val="none"/>
              </w:rPr>
            </w:pPr>
            <w:r>
              <w:rPr>
                <w:rFonts w:hint="eastAsia" w:ascii="宋体" w:hAnsi="宋体" w:eastAsia="宋体" w:cs="宋体"/>
                <w:sz w:val="21"/>
                <w:szCs w:val="21"/>
                <w:highlight w:val="none"/>
              </w:rPr>
              <w:t>注：评标价得分最低得0分。</w:t>
            </w:r>
          </w:p>
        </w:tc>
      </w:tr>
      <w:tr w14:paraId="5972A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38" w:type="dxa"/>
            <w:left w:w="29" w:type="dxa"/>
            <w:bottom w:w="10" w:type="dxa"/>
            <w:right w:w="0" w:type="dxa"/>
          </w:tblCellMar>
        </w:tblPrEx>
        <w:trPr>
          <w:trHeight w:val="389" w:hRule="atLeast"/>
        </w:trPr>
        <w:tc>
          <w:tcPr>
            <w:tcW w:w="972" w:type="dxa"/>
            <w:vMerge w:val="restart"/>
            <w:vAlign w:val="center"/>
          </w:tcPr>
          <w:p w14:paraId="798D4038">
            <w:pPr>
              <w:spacing w:after="160" w:line="259" w:lineRule="auto"/>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2.2.4（4）</w:t>
            </w:r>
          </w:p>
        </w:tc>
        <w:tc>
          <w:tcPr>
            <w:tcW w:w="709" w:type="dxa"/>
            <w:vMerge w:val="restart"/>
            <w:vAlign w:val="center"/>
          </w:tcPr>
          <w:p w14:paraId="1B1F1DD2">
            <w:pPr>
              <w:spacing w:line="259" w:lineRule="auto"/>
              <w:ind w:right="1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其他因素</w:t>
            </w:r>
          </w:p>
        </w:tc>
        <w:tc>
          <w:tcPr>
            <w:tcW w:w="560" w:type="dxa"/>
            <w:vAlign w:val="center"/>
          </w:tcPr>
          <w:p w14:paraId="251F6F7C">
            <w:pPr>
              <w:spacing w:line="259"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业绩</w:t>
            </w:r>
          </w:p>
        </w:tc>
        <w:tc>
          <w:tcPr>
            <w:tcW w:w="857" w:type="dxa"/>
            <w:vAlign w:val="center"/>
          </w:tcPr>
          <w:p w14:paraId="1424CE78">
            <w:pPr>
              <w:spacing w:line="259" w:lineRule="auto"/>
              <w:ind w:right="103"/>
              <w:jc w:val="center"/>
              <w:rPr>
                <w:rFonts w:hint="eastAsia" w:ascii="宋体" w:hAnsi="宋体" w:eastAsia="宋体" w:cs="宋体"/>
                <w:sz w:val="21"/>
                <w:szCs w:val="21"/>
                <w:highlight w:val="none"/>
              </w:rPr>
            </w:pPr>
            <w:r>
              <w:rPr>
                <w:rFonts w:hint="eastAsia" w:ascii="宋体" w:hAnsi="宋体" w:eastAsia="宋体" w:cs="宋体"/>
                <w:b w:val="0"/>
                <w:bCs/>
                <w:sz w:val="21"/>
                <w:szCs w:val="21"/>
                <w:highlight w:val="none"/>
                <w:u w:val="single" w:color="000000"/>
              </w:rPr>
              <w:t>20</w:t>
            </w:r>
            <w:r>
              <w:rPr>
                <w:rFonts w:hint="eastAsia" w:ascii="宋体" w:hAnsi="宋体" w:eastAsia="宋体" w:cs="宋体"/>
                <w:sz w:val="21"/>
                <w:szCs w:val="21"/>
                <w:highlight w:val="none"/>
              </w:rPr>
              <w:t>分</w:t>
            </w:r>
          </w:p>
        </w:tc>
        <w:tc>
          <w:tcPr>
            <w:tcW w:w="1160" w:type="dxa"/>
            <w:vAlign w:val="center"/>
          </w:tcPr>
          <w:p w14:paraId="40E243E6">
            <w:pPr>
              <w:spacing w:line="259" w:lineRule="auto"/>
              <w:ind w:right="26"/>
              <w:rPr>
                <w:rFonts w:hint="eastAsia" w:ascii="宋体" w:hAnsi="宋体" w:eastAsia="宋体" w:cs="宋体"/>
                <w:sz w:val="21"/>
                <w:szCs w:val="21"/>
                <w:highlight w:val="none"/>
              </w:rPr>
            </w:pPr>
            <w:r>
              <w:rPr>
                <w:rFonts w:hint="eastAsia" w:ascii="宋体" w:hAnsi="宋体" w:eastAsia="宋体" w:cs="宋体"/>
                <w:sz w:val="21"/>
                <w:szCs w:val="21"/>
                <w:highlight w:val="none"/>
              </w:rPr>
              <w:t>投标人与本项目相关的具体业绩</w:t>
            </w:r>
          </w:p>
        </w:tc>
        <w:tc>
          <w:tcPr>
            <w:tcW w:w="850" w:type="dxa"/>
            <w:gridSpan w:val="2"/>
            <w:vAlign w:val="center"/>
          </w:tcPr>
          <w:p w14:paraId="00CCD8E1">
            <w:pPr>
              <w:spacing w:line="259" w:lineRule="auto"/>
              <w:ind w:right="106"/>
              <w:jc w:val="center"/>
              <w:rPr>
                <w:rFonts w:hint="eastAsia" w:ascii="宋体" w:hAnsi="宋体" w:eastAsia="宋体" w:cs="宋体"/>
                <w:sz w:val="21"/>
                <w:szCs w:val="21"/>
                <w:highlight w:val="none"/>
              </w:rPr>
            </w:pPr>
            <w:r>
              <w:rPr>
                <w:rFonts w:hint="eastAsia" w:ascii="宋体" w:hAnsi="宋体" w:eastAsia="宋体" w:cs="宋体"/>
                <w:sz w:val="21"/>
                <w:szCs w:val="21"/>
                <w:highlight w:val="none"/>
                <w:u w:val="single" w:color="000000"/>
              </w:rPr>
              <w:t>20</w:t>
            </w:r>
            <w:r>
              <w:rPr>
                <w:rFonts w:hint="eastAsia" w:ascii="宋体" w:hAnsi="宋体" w:eastAsia="宋体" w:cs="宋体"/>
                <w:sz w:val="21"/>
                <w:szCs w:val="21"/>
                <w:highlight w:val="none"/>
              </w:rPr>
              <w:t>分</w:t>
            </w:r>
          </w:p>
        </w:tc>
        <w:tc>
          <w:tcPr>
            <w:tcW w:w="4227" w:type="dxa"/>
            <w:gridSpan w:val="2"/>
            <w:vAlign w:val="center"/>
          </w:tcPr>
          <w:p w14:paraId="0718EAE2">
            <w:pPr>
              <w:spacing w:line="259" w:lineRule="auto"/>
              <w:ind w:right="26"/>
              <w:rPr>
                <w:rFonts w:hint="eastAsia" w:ascii="宋体" w:hAnsi="宋体" w:eastAsia="宋体" w:cs="宋体"/>
                <w:sz w:val="21"/>
                <w:szCs w:val="21"/>
                <w:highlight w:val="none"/>
              </w:rPr>
            </w:pPr>
            <w:r>
              <w:rPr>
                <w:rFonts w:hint="eastAsia" w:ascii="宋体" w:hAnsi="宋体" w:eastAsia="宋体" w:cs="宋体"/>
                <w:sz w:val="21"/>
                <w:szCs w:val="21"/>
                <w:highlight w:val="none"/>
              </w:rPr>
              <w:t>投标人满足资格条件要求的得基本分12分。在此基础上，每增加一个满足资格条件要求的业绩加2分，最多加8分。</w:t>
            </w:r>
          </w:p>
        </w:tc>
      </w:tr>
      <w:tr w14:paraId="3380A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38" w:type="dxa"/>
            <w:left w:w="29" w:type="dxa"/>
            <w:bottom w:w="10" w:type="dxa"/>
            <w:right w:w="0" w:type="dxa"/>
          </w:tblCellMar>
        </w:tblPrEx>
        <w:trPr>
          <w:trHeight w:val="389" w:hRule="atLeast"/>
        </w:trPr>
        <w:tc>
          <w:tcPr>
            <w:tcW w:w="972" w:type="dxa"/>
            <w:vMerge w:val="continue"/>
            <w:vAlign w:val="center"/>
          </w:tcPr>
          <w:p w14:paraId="189E37B3">
            <w:pPr>
              <w:spacing w:after="160" w:line="259" w:lineRule="auto"/>
              <w:jc w:val="center"/>
              <w:rPr>
                <w:rFonts w:hint="eastAsia" w:ascii="宋体" w:hAnsi="宋体" w:eastAsia="宋体" w:cs="宋体"/>
                <w:sz w:val="21"/>
                <w:szCs w:val="21"/>
                <w:highlight w:val="none"/>
              </w:rPr>
            </w:pPr>
          </w:p>
        </w:tc>
        <w:tc>
          <w:tcPr>
            <w:tcW w:w="709" w:type="dxa"/>
            <w:vMerge w:val="continue"/>
            <w:vAlign w:val="center"/>
          </w:tcPr>
          <w:p w14:paraId="74C11C46">
            <w:pPr>
              <w:spacing w:after="160" w:line="259" w:lineRule="auto"/>
              <w:jc w:val="center"/>
              <w:rPr>
                <w:rFonts w:hint="eastAsia" w:ascii="宋体" w:hAnsi="宋体" w:eastAsia="宋体" w:cs="宋体"/>
                <w:sz w:val="21"/>
                <w:szCs w:val="21"/>
                <w:highlight w:val="none"/>
              </w:rPr>
            </w:pPr>
          </w:p>
        </w:tc>
        <w:tc>
          <w:tcPr>
            <w:tcW w:w="560" w:type="dxa"/>
            <w:vAlign w:val="center"/>
          </w:tcPr>
          <w:p w14:paraId="19FA8CFC">
            <w:pPr>
              <w:spacing w:after="12" w:line="259"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履约信誉</w:t>
            </w:r>
          </w:p>
        </w:tc>
        <w:tc>
          <w:tcPr>
            <w:tcW w:w="857" w:type="dxa"/>
            <w:vAlign w:val="center"/>
          </w:tcPr>
          <w:p w14:paraId="34E84CDA">
            <w:pPr>
              <w:spacing w:line="259" w:lineRule="auto"/>
              <w:ind w:right="103"/>
              <w:jc w:val="center"/>
              <w:rPr>
                <w:rFonts w:hint="eastAsia" w:ascii="宋体" w:hAnsi="宋体" w:eastAsia="宋体" w:cs="宋体"/>
                <w:sz w:val="21"/>
                <w:szCs w:val="21"/>
                <w:highlight w:val="none"/>
              </w:rPr>
            </w:pPr>
            <w:r>
              <w:rPr>
                <w:rFonts w:hint="eastAsia" w:ascii="宋体" w:hAnsi="宋体" w:eastAsia="宋体" w:cs="宋体"/>
                <w:b w:val="0"/>
                <w:bCs/>
                <w:sz w:val="21"/>
                <w:szCs w:val="21"/>
                <w:highlight w:val="none"/>
                <w:u w:val="single" w:color="000000"/>
              </w:rPr>
              <w:t>5</w:t>
            </w:r>
            <w:r>
              <w:rPr>
                <w:rFonts w:hint="eastAsia" w:ascii="宋体" w:hAnsi="宋体" w:eastAsia="宋体" w:cs="宋体"/>
                <w:sz w:val="21"/>
                <w:szCs w:val="21"/>
                <w:highlight w:val="none"/>
              </w:rPr>
              <w:t>分</w:t>
            </w:r>
          </w:p>
        </w:tc>
        <w:tc>
          <w:tcPr>
            <w:tcW w:w="1160" w:type="dxa"/>
            <w:vAlign w:val="center"/>
          </w:tcPr>
          <w:p w14:paraId="742AC0A7">
            <w:pPr>
              <w:spacing w:line="259" w:lineRule="auto"/>
              <w:ind w:right="26"/>
              <w:rPr>
                <w:rFonts w:hint="eastAsia" w:ascii="宋体" w:hAnsi="宋体" w:eastAsia="宋体" w:cs="宋体"/>
                <w:sz w:val="21"/>
                <w:szCs w:val="21"/>
                <w:highlight w:val="none"/>
              </w:rPr>
            </w:pPr>
            <w:r>
              <w:rPr>
                <w:rFonts w:hint="eastAsia" w:ascii="宋体" w:hAnsi="宋体" w:eastAsia="宋体" w:cs="宋体"/>
                <w:sz w:val="21"/>
                <w:szCs w:val="21"/>
                <w:highlight w:val="none"/>
              </w:rPr>
              <w:t>履约信誉</w:t>
            </w:r>
          </w:p>
        </w:tc>
        <w:tc>
          <w:tcPr>
            <w:tcW w:w="850" w:type="dxa"/>
            <w:gridSpan w:val="2"/>
            <w:vAlign w:val="center"/>
          </w:tcPr>
          <w:p w14:paraId="6F17D689">
            <w:pPr>
              <w:spacing w:line="259" w:lineRule="auto"/>
              <w:ind w:right="106"/>
              <w:jc w:val="center"/>
              <w:rPr>
                <w:rFonts w:hint="eastAsia" w:ascii="宋体" w:hAnsi="宋体" w:eastAsia="宋体" w:cs="宋体"/>
                <w:sz w:val="21"/>
                <w:szCs w:val="21"/>
                <w:highlight w:val="none"/>
              </w:rPr>
            </w:pPr>
            <w:r>
              <w:rPr>
                <w:rFonts w:hint="eastAsia" w:ascii="宋体" w:hAnsi="宋体" w:eastAsia="宋体" w:cs="宋体"/>
                <w:sz w:val="21"/>
                <w:szCs w:val="21"/>
                <w:highlight w:val="none"/>
                <w:u w:val="single" w:color="000000"/>
              </w:rPr>
              <w:t>5</w:t>
            </w:r>
            <w:r>
              <w:rPr>
                <w:rFonts w:hint="eastAsia" w:ascii="宋体" w:hAnsi="宋体" w:eastAsia="宋体" w:cs="宋体"/>
                <w:sz w:val="21"/>
                <w:szCs w:val="21"/>
                <w:highlight w:val="none"/>
              </w:rPr>
              <w:t>分</w:t>
            </w:r>
          </w:p>
        </w:tc>
        <w:tc>
          <w:tcPr>
            <w:tcW w:w="4227" w:type="dxa"/>
            <w:gridSpan w:val="2"/>
            <w:vAlign w:val="bottom"/>
          </w:tcPr>
          <w:p w14:paraId="41105558">
            <w:pPr>
              <w:ind w:firstLine="315" w:firstLineChars="150"/>
              <w:rPr>
                <w:rFonts w:hint="eastAsia" w:ascii="宋体" w:hAnsi="宋体" w:eastAsia="宋体" w:cs="宋体"/>
                <w:snapToGrid w:val="0"/>
                <w:kern w:val="0"/>
                <w:sz w:val="21"/>
                <w:szCs w:val="21"/>
                <w:highlight w:val="none"/>
              </w:rPr>
            </w:pPr>
            <w:r>
              <w:rPr>
                <w:rFonts w:hint="eastAsia" w:ascii="宋体" w:hAnsi="宋体" w:eastAsia="宋体" w:cs="宋体"/>
                <w:snapToGrid w:val="0"/>
                <w:kern w:val="0"/>
                <w:sz w:val="21"/>
                <w:szCs w:val="21"/>
                <w:highlight w:val="none"/>
              </w:rPr>
              <w:t>按照《江苏省公路水运建设市场信用信息管理办法》，对在投标截止当</w:t>
            </w:r>
            <w:r>
              <w:rPr>
                <w:rFonts w:hint="eastAsia" w:ascii="宋体" w:hAnsi="宋体" w:cs="宋体"/>
                <w:snapToGrid w:val="0"/>
                <w:kern w:val="0"/>
                <w:sz w:val="21"/>
                <w:szCs w:val="21"/>
                <w:highlight w:val="none"/>
                <w:lang w:val="en-US" w:eastAsia="zh-CN"/>
              </w:rPr>
              <w:t>时</w:t>
            </w:r>
            <w:r>
              <w:rPr>
                <w:rFonts w:hint="eastAsia" w:ascii="宋体" w:hAnsi="宋体" w:eastAsia="宋体" w:cs="宋体"/>
                <w:snapToGrid w:val="0"/>
                <w:kern w:val="0"/>
                <w:sz w:val="21"/>
                <w:szCs w:val="21"/>
                <w:highlight w:val="none"/>
              </w:rPr>
              <w:t>查询的投标人在最近一次江苏省公路水路建设市场从业单位信用评定结果中的的信用等级和分数进行评定。信用评价类型：服务</w:t>
            </w:r>
            <w:r>
              <w:rPr>
                <w:rFonts w:hint="eastAsia" w:ascii="宋体" w:hAnsi="宋体" w:cs="宋体"/>
                <w:snapToGrid w:val="0"/>
                <w:kern w:val="0"/>
                <w:sz w:val="21"/>
                <w:szCs w:val="21"/>
                <w:highlight w:val="none"/>
                <w:lang w:val="en-US" w:eastAsia="zh-CN"/>
              </w:rPr>
              <w:t>类</w:t>
            </w:r>
            <w:r>
              <w:rPr>
                <w:rFonts w:hint="eastAsia" w:ascii="宋体" w:hAnsi="宋体" w:eastAsia="宋体" w:cs="宋体"/>
                <w:snapToGrid w:val="0"/>
                <w:kern w:val="0"/>
                <w:sz w:val="21"/>
                <w:szCs w:val="21"/>
                <w:highlight w:val="none"/>
              </w:rPr>
              <w:t>。</w:t>
            </w:r>
          </w:p>
          <w:p w14:paraId="59CD033F">
            <w:pPr>
              <w:ind w:firstLine="315" w:firstLineChars="150"/>
              <w:rPr>
                <w:rFonts w:hint="eastAsia" w:ascii="宋体" w:hAnsi="宋体" w:eastAsia="宋体" w:cs="宋体"/>
                <w:snapToGrid w:val="0"/>
                <w:kern w:val="0"/>
                <w:sz w:val="21"/>
                <w:szCs w:val="21"/>
                <w:highlight w:val="none"/>
              </w:rPr>
            </w:pPr>
            <w:r>
              <w:rPr>
                <w:rFonts w:hint="eastAsia" w:ascii="宋体" w:hAnsi="宋体" w:eastAsia="宋体" w:cs="宋体"/>
                <w:snapToGrid w:val="0"/>
                <w:kern w:val="0"/>
                <w:sz w:val="21"/>
                <w:szCs w:val="21"/>
                <w:highlight w:val="none"/>
              </w:rPr>
              <w:t>（一）信用等级为AA级或列入红名单的从业单位，信用分为X（本项X=5，下同）分；</w:t>
            </w:r>
          </w:p>
          <w:p w14:paraId="11E50A9E">
            <w:pPr>
              <w:ind w:firstLine="315" w:firstLineChars="150"/>
              <w:rPr>
                <w:rFonts w:hint="eastAsia" w:ascii="宋体" w:hAnsi="宋体" w:eastAsia="宋体" w:cs="宋体"/>
                <w:snapToGrid w:val="0"/>
                <w:kern w:val="0"/>
                <w:sz w:val="21"/>
                <w:szCs w:val="21"/>
                <w:highlight w:val="none"/>
              </w:rPr>
            </w:pPr>
            <w:r>
              <w:rPr>
                <w:rFonts w:hint="eastAsia" w:ascii="宋体" w:hAnsi="宋体" w:eastAsia="宋体" w:cs="宋体"/>
                <w:snapToGrid w:val="0"/>
                <w:kern w:val="0"/>
                <w:sz w:val="21"/>
                <w:szCs w:val="21"/>
                <w:highlight w:val="none"/>
              </w:rPr>
              <w:t>（二）最近一次信用等级为A级（含暂定A级）的从业单位，信用分为0.8X～0.95X分，具体按下列公式进行计算：Y=0.15X*(Z-85)/10+0.8X</w:t>
            </w:r>
          </w:p>
          <w:p w14:paraId="6EDDC019">
            <w:pPr>
              <w:ind w:firstLine="315" w:firstLineChars="150"/>
              <w:rPr>
                <w:rFonts w:hint="eastAsia" w:ascii="宋体" w:hAnsi="宋体" w:eastAsia="宋体" w:cs="宋体"/>
                <w:snapToGrid w:val="0"/>
                <w:kern w:val="0"/>
                <w:sz w:val="21"/>
                <w:szCs w:val="21"/>
                <w:highlight w:val="none"/>
              </w:rPr>
            </w:pPr>
            <w:r>
              <w:rPr>
                <w:rFonts w:hint="eastAsia" w:ascii="宋体" w:hAnsi="宋体" w:eastAsia="宋体" w:cs="宋体"/>
                <w:snapToGrid w:val="0"/>
                <w:kern w:val="0"/>
                <w:sz w:val="21"/>
                <w:szCs w:val="21"/>
                <w:highlight w:val="none"/>
              </w:rPr>
              <w:t>（三）信用等级为B级（含暂定）的从业单位，信用分为0.65X～0.8X分，具体按下列公式进行计算：Y=0.15X*(Z-75)/10+0.65X</w:t>
            </w:r>
          </w:p>
          <w:p w14:paraId="77CDC4C0">
            <w:pPr>
              <w:ind w:firstLine="315" w:firstLineChars="150"/>
              <w:rPr>
                <w:rFonts w:hint="eastAsia" w:ascii="宋体" w:hAnsi="宋体" w:eastAsia="宋体" w:cs="宋体"/>
                <w:snapToGrid w:val="0"/>
                <w:kern w:val="0"/>
                <w:sz w:val="21"/>
                <w:szCs w:val="21"/>
                <w:highlight w:val="none"/>
              </w:rPr>
            </w:pPr>
            <w:r>
              <w:rPr>
                <w:rFonts w:hint="eastAsia" w:ascii="宋体" w:hAnsi="宋体" w:eastAsia="宋体" w:cs="宋体"/>
                <w:snapToGrid w:val="0"/>
                <w:kern w:val="0"/>
                <w:sz w:val="21"/>
                <w:szCs w:val="21"/>
                <w:highlight w:val="none"/>
              </w:rPr>
              <w:t>（四）信用等级为C级（含暂定）的从业单位，信用分为0.45X〜0.6X分 ，具体按下列公式进行计算：</w:t>
            </w:r>
          </w:p>
          <w:p w14:paraId="2EA7A3D6">
            <w:pPr>
              <w:ind w:firstLine="315" w:firstLineChars="150"/>
              <w:rPr>
                <w:rFonts w:hint="eastAsia" w:ascii="宋体" w:hAnsi="宋体" w:eastAsia="宋体" w:cs="宋体"/>
                <w:snapToGrid w:val="0"/>
                <w:kern w:val="0"/>
                <w:sz w:val="21"/>
                <w:szCs w:val="21"/>
                <w:highlight w:val="none"/>
              </w:rPr>
            </w:pPr>
            <w:r>
              <w:rPr>
                <w:rFonts w:hint="eastAsia" w:ascii="宋体" w:hAnsi="宋体" w:eastAsia="宋体" w:cs="宋体"/>
                <w:snapToGrid w:val="0"/>
                <w:kern w:val="0"/>
                <w:sz w:val="21"/>
                <w:szCs w:val="21"/>
                <w:highlight w:val="none"/>
              </w:rPr>
              <w:t>Y=0.15X*（Z-60）/15+0.45X。</w:t>
            </w:r>
          </w:p>
          <w:p w14:paraId="338CE1BB">
            <w:pPr>
              <w:ind w:firstLine="315" w:firstLineChars="150"/>
              <w:rPr>
                <w:rFonts w:hint="eastAsia" w:ascii="宋体" w:hAnsi="宋体" w:eastAsia="宋体" w:cs="宋体"/>
                <w:snapToGrid w:val="0"/>
                <w:kern w:val="0"/>
                <w:sz w:val="21"/>
                <w:szCs w:val="21"/>
                <w:highlight w:val="none"/>
              </w:rPr>
            </w:pPr>
            <w:r>
              <w:rPr>
                <w:rFonts w:hint="eastAsia" w:ascii="宋体" w:hAnsi="宋体" w:eastAsia="宋体" w:cs="宋体"/>
                <w:snapToGrid w:val="0"/>
                <w:kern w:val="0"/>
                <w:sz w:val="21"/>
                <w:szCs w:val="21"/>
                <w:highlight w:val="none"/>
              </w:rPr>
              <w:t>注：X为信用分满分值（5分），Y为从业单位在本次投标活动中的信用分值，Z为从业单位最近一次信用等级评定分值。无评定分值的A级从业单位，Z按85计算；暂定A级从业单位，Z按85计算；无评定分值的B级从业单位，Z按75计算；暂定B级从业单位，Z按75计算；无评定分值的C级从业单位，Z按60计算;暂定C级从业单位，Z按60计算。</w:t>
            </w:r>
          </w:p>
          <w:p w14:paraId="73DDE5B8">
            <w:pPr>
              <w:rPr>
                <w:rFonts w:hint="eastAsia" w:ascii="宋体" w:hAnsi="宋体" w:eastAsia="宋体" w:cs="宋体"/>
                <w:sz w:val="21"/>
                <w:szCs w:val="21"/>
                <w:highlight w:val="none"/>
              </w:rPr>
            </w:pPr>
            <w:r>
              <w:rPr>
                <w:rFonts w:hint="eastAsia" w:ascii="宋体" w:hAnsi="宋体" w:eastAsia="宋体" w:cs="宋体"/>
                <w:snapToGrid w:val="0"/>
                <w:kern w:val="0"/>
                <w:sz w:val="21"/>
                <w:szCs w:val="21"/>
                <w:highlight w:val="none"/>
              </w:rPr>
              <w:t>Y值结果保留2位小数，第3位四舍五入。</w:t>
            </w:r>
          </w:p>
        </w:tc>
      </w:tr>
    </w:tbl>
    <w:p w14:paraId="0C949518">
      <w:pPr>
        <w:rPr>
          <w:rFonts w:ascii="Garamond" w:hAnsi="Garamond"/>
          <w:color w:val="000000" w:themeColor="text1"/>
          <w:sz w:val="18"/>
          <w:szCs w:val="18"/>
          <w:highlight w:val="none"/>
          <w14:textFill>
            <w14:solidFill>
              <w14:schemeClr w14:val="tx1"/>
            </w14:solidFill>
          </w14:textFill>
        </w:rPr>
      </w:pPr>
    </w:p>
    <w:tbl>
      <w:tblPr>
        <w:tblStyle w:val="4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8"/>
      </w:tblGrid>
      <w:tr w14:paraId="2AD89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4" w:hRule="atLeast"/>
          <w:jc w:val="center"/>
        </w:trPr>
        <w:tc>
          <w:tcPr>
            <w:tcW w:w="5000" w:type="pct"/>
            <w:vAlign w:val="center"/>
          </w:tcPr>
          <w:p w14:paraId="746C98BB">
            <w:pPr>
              <w:pStyle w:val="5"/>
              <w:keepNext/>
              <w:keepLines/>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宋体" w:hAnsi="宋体" w:eastAsia="宋体" w:cs="宋体"/>
                <w:position w:val="-2"/>
                <w:szCs w:val="21"/>
                <w:highlight w:val="none"/>
              </w:rPr>
            </w:pPr>
            <w:r>
              <w:rPr>
                <w:rFonts w:hint="eastAsia" w:ascii="宋体" w:hAnsi="宋体" w:eastAsia="宋体" w:cs="宋体"/>
                <w:position w:val="-2"/>
                <w:szCs w:val="21"/>
                <w:highlight w:val="none"/>
              </w:rPr>
              <w:t>需要补充的其他内容：</w:t>
            </w:r>
          </w:p>
          <w:p w14:paraId="38E6FB3B">
            <w:pPr>
              <w:pStyle w:val="5"/>
              <w:adjustRightInd w:val="0"/>
              <w:snapToGrid w:val="0"/>
              <w:spacing w:before="0" w:after="0" w:line="240" w:lineRule="auto"/>
              <w:rPr>
                <w:rFonts w:ascii="宋体" w:hAnsi="宋体" w:eastAsia="宋体"/>
                <w:sz w:val="21"/>
                <w:szCs w:val="21"/>
                <w:highlight w:val="none"/>
              </w:rPr>
            </w:pPr>
            <w:r>
              <w:rPr>
                <w:rFonts w:hint="eastAsia" w:ascii="宋体" w:hAnsi="宋体" w:eastAsia="宋体"/>
                <w:sz w:val="21"/>
                <w:szCs w:val="21"/>
                <w:highlight w:val="none"/>
              </w:rPr>
              <w:t>1、第3.2.1项增加：第一信封（商务及技术文件）各评分因素细分项（履约信誉评分项除外）得分一般不得低于其权重分值的60%，且各评分因素细分项得分应以评标委员会各成员的打分平均值（若该评分因素含细分项，按评分因素细分项分别计算得分，保留小数点后两位，小数点后第三位“四舍五入”）确定，评标委员会成员总数为7人或7人以上时，该平均值以去掉一个最高和一个最低分后计算。评标委员会成员对某一评分因素细分项的评分低于权重分值60%的，应在评标报告中作出说明。第一信封各评分因素细分项得分之和即为各投标人的第一信封综合得分。评标办法其他地方要求与本款内容不一致的，以本款内容为准。</w:t>
            </w:r>
          </w:p>
          <w:p w14:paraId="5C2FACFB">
            <w:pPr>
              <w:pStyle w:val="5"/>
              <w:spacing w:before="0" w:after="0" w:line="240" w:lineRule="auto"/>
              <w:rPr>
                <w:rFonts w:ascii="宋体" w:hAnsi="宋体" w:eastAsia="宋体"/>
                <w:sz w:val="21"/>
                <w:szCs w:val="21"/>
                <w:highlight w:val="none"/>
              </w:rPr>
            </w:pPr>
            <w:r>
              <w:rPr>
                <w:rFonts w:hint="eastAsia" w:ascii="宋体" w:hAnsi="宋体" w:eastAsia="宋体"/>
                <w:sz w:val="21"/>
                <w:szCs w:val="21"/>
                <w:highlight w:val="none"/>
              </w:rPr>
              <w:t>2、增加：有效投标不足三个的，评标委员会应当对有效投标是否仍具有竞争性进行评审。评标委员会一致认为有效投标仍具有竞争性的，应当继续推荐中标候选人；评标委员会对有效投标是否仍具有竞争性无法达成一致意见的，应当否决全部投标。评标委员会应当在评标报告中记载论证过程和结果。</w:t>
            </w:r>
          </w:p>
          <w:p w14:paraId="3A9BDD97">
            <w:pPr>
              <w:pStyle w:val="5"/>
              <w:spacing w:before="0" w:after="0" w:line="240" w:lineRule="auto"/>
              <w:rPr>
                <w:rFonts w:ascii="宋体" w:hAnsi="宋体" w:eastAsia="宋体"/>
                <w:sz w:val="21"/>
                <w:szCs w:val="21"/>
                <w:highlight w:val="none"/>
              </w:rPr>
            </w:pPr>
            <w:r>
              <w:rPr>
                <w:rFonts w:hint="eastAsia" w:ascii="宋体" w:hAnsi="宋体" w:eastAsia="宋体"/>
                <w:sz w:val="21"/>
                <w:szCs w:val="21"/>
                <w:highlight w:val="none"/>
              </w:rPr>
              <w:t>当出现通过投标文件第一信封（商务及技术文件）评审的投标人不足3家的，评标委员会可以否决全部投标；未否决全部投标的，评标委员会应当在评标报告中阐明理由，招标人可按照第二章“投标人须知”第5.1款规定的时间和地点对投标文件第二信封（报价文件）进行开标，但评标委员会在进行报价文件评审时仍有权否决全部投标；评标委员会未在报价文件评审时否决全部投标的，应当在评标报告中阐明理由。</w:t>
            </w:r>
          </w:p>
          <w:p w14:paraId="623945E0">
            <w:pPr>
              <w:pStyle w:val="5"/>
              <w:numPr>
                <w:ilvl w:val="0"/>
                <w:numId w:val="0"/>
              </w:numPr>
              <w:spacing w:before="0" w:after="0" w:line="240" w:lineRule="auto"/>
              <w:rPr>
                <w:rFonts w:hint="eastAsia" w:ascii="宋体" w:hAnsi="宋体" w:eastAsia="宋体"/>
                <w:sz w:val="21"/>
                <w:szCs w:val="21"/>
                <w:highlight w:val="none"/>
              </w:rPr>
            </w:pPr>
            <w:r>
              <w:rPr>
                <w:rFonts w:hint="eastAsia" w:ascii="宋体" w:hAnsi="宋体" w:eastAsia="宋体" w:cs="Times New Roman"/>
                <w:b/>
                <w:bCs/>
                <w:kern w:val="2"/>
                <w:sz w:val="21"/>
                <w:szCs w:val="21"/>
                <w:highlight w:val="none"/>
                <w:lang w:val="en-US" w:eastAsia="zh-CN" w:bidi="ar-SA"/>
              </w:rPr>
              <w:t>3、</w:t>
            </w:r>
            <w:r>
              <w:rPr>
                <w:rFonts w:hint="eastAsia" w:ascii="宋体" w:hAnsi="宋体" w:eastAsia="宋体"/>
                <w:sz w:val="21"/>
                <w:szCs w:val="21"/>
                <w:highlight w:val="none"/>
              </w:rPr>
              <w:t>增加：评标委员会应当根据《中华人民共和国招标投标</w:t>
            </w:r>
            <w:r>
              <w:rPr>
                <w:rFonts w:hint="eastAsia" w:ascii="宋体" w:hAnsi="宋体" w:eastAsia="宋体"/>
                <w:sz w:val="21"/>
                <w:szCs w:val="21"/>
                <w:highlight w:val="none"/>
                <w:lang w:val="en-US" w:eastAsia="zh-CN"/>
              </w:rPr>
              <w:t>法</w:t>
            </w:r>
            <w:r>
              <w:rPr>
                <w:rFonts w:hint="eastAsia" w:ascii="宋体" w:hAnsi="宋体" w:eastAsia="宋体"/>
                <w:sz w:val="21"/>
                <w:szCs w:val="21"/>
                <w:highlight w:val="none"/>
              </w:rPr>
              <w:t>实施条例》、《江苏省国有资金投资工程建设项目招标投标管理办法》等文件要求，对在评标过程中发现的投标人与投标人之间、投标人与招标人之间存在的串通投标的情形进行评审和认定；对存在串通投标情形的，评标委员会应当予以否决其投标。</w:t>
            </w:r>
          </w:p>
          <w:p w14:paraId="637FC9AB">
            <w:pPr>
              <w:numPr>
                <w:ilvl w:val="0"/>
                <w:numId w:val="0"/>
              </w:numPr>
              <w:rPr>
                <w:rFonts w:hint="eastAsia"/>
                <w:b/>
                <w:bCs/>
                <w:highlight w:val="none"/>
              </w:rPr>
            </w:pPr>
            <w:r>
              <w:rPr>
                <w:rFonts w:hint="eastAsia" w:ascii="Times New Roman" w:hAnsi="Times New Roman" w:eastAsia="宋体" w:cs="Times New Roman"/>
                <w:b/>
                <w:bCs/>
                <w:kern w:val="2"/>
                <w:sz w:val="21"/>
                <w:szCs w:val="24"/>
                <w:highlight w:val="none"/>
                <w:lang w:val="en-US" w:eastAsia="zh-CN" w:bidi="ar-SA"/>
              </w:rPr>
              <w:t>4、增加：</w:t>
            </w:r>
            <w:r>
              <w:rPr>
                <w:rFonts w:hint="eastAsia"/>
                <w:b/>
                <w:bCs/>
                <w:highlight w:val="none"/>
              </w:rPr>
              <w:t>上述“投标人第一个信封（商务及技术文件）评审得分由高到低顺序选取前3名（若不足3名，则选取相应数量)”，若有得分相同且影响到其评标价是否能进入评标价平均值计算的，则由评标委员会依次按照以下优先顺序进行排序：</w:t>
            </w:r>
          </w:p>
          <w:p w14:paraId="6F08D0C3">
            <w:pPr>
              <w:numPr>
                <w:ilvl w:val="0"/>
                <w:numId w:val="0"/>
              </w:numPr>
              <w:rPr>
                <w:rFonts w:hint="eastAsia"/>
                <w:b/>
                <w:bCs/>
                <w:highlight w:val="none"/>
              </w:rPr>
            </w:pPr>
            <w:r>
              <w:rPr>
                <w:rFonts w:hint="eastAsia"/>
                <w:b/>
                <w:bCs/>
                <w:highlight w:val="none"/>
              </w:rPr>
              <w:t>（1）被列入最近一次“江苏省公路水运建设市场守信激励对象名单”（红名单）的投标人优先；</w:t>
            </w:r>
          </w:p>
          <w:p w14:paraId="2EAB59A4">
            <w:pPr>
              <w:numPr>
                <w:ilvl w:val="0"/>
                <w:numId w:val="0"/>
              </w:numPr>
              <w:rPr>
                <w:rFonts w:hint="eastAsia"/>
                <w:b/>
                <w:bCs/>
                <w:highlight w:val="none"/>
              </w:rPr>
            </w:pPr>
            <w:r>
              <w:rPr>
                <w:rFonts w:hint="eastAsia"/>
                <w:b/>
                <w:bCs/>
                <w:highlight w:val="none"/>
              </w:rPr>
              <w:t>（2）在最近一次江苏省公路水路建设市场从业单位信用评定结果中的信用分值高的投标人优先；</w:t>
            </w:r>
          </w:p>
          <w:p w14:paraId="5B20CBE8">
            <w:pPr>
              <w:numPr>
                <w:ilvl w:val="0"/>
                <w:numId w:val="0"/>
              </w:numPr>
              <w:rPr>
                <w:rFonts w:hint="eastAsia"/>
                <w:b/>
                <w:bCs/>
                <w:highlight w:val="none"/>
              </w:rPr>
            </w:pPr>
            <w:r>
              <w:rPr>
                <w:rFonts w:hint="eastAsia"/>
                <w:b/>
                <w:bCs/>
                <w:highlight w:val="none"/>
              </w:rPr>
              <w:t>（3）“对项目的理解和总体思路”打分点得分较高的投标人优先；</w:t>
            </w:r>
          </w:p>
          <w:p w14:paraId="6D5E6346">
            <w:pPr>
              <w:numPr>
                <w:ilvl w:val="0"/>
                <w:numId w:val="0"/>
              </w:numPr>
              <w:rPr>
                <w:rFonts w:hint="eastAsia"/>
                <w:b/>
                <w:bCs/>
                <w:highlight w:val="none"/>
              </w:rPr>
            </w:pPr>
            <w:r>
              <w:rPr>
                <w:rFonts w:hint="eastAsia"/>
                <w:b/>
                <w:bCs/>
                <w:highlight w:val="none"/>
              </w:rPr>
              <w:t>（4）评标委员会全体成员记名票决推荐中标候选人。</w:t>
            </w:r>
          </w:p>
          <w:p w14:paraId="5C3B1DE8">
            <w:pPr>
              <w:numPr>
                <w:ilvl w:val="0"/>
                <w:numId w:val="0"/>
              </w:numPr>
              <w:rPr>
                <w:highlight w:val="none"/>
              </w:rPr>
            </w:pPr>
            <w:r>
              <w:rPr>
                <w:rFonts w:hint="eastAsia"/>
                <w:b/>
                <w:bCs/>
                <w:highlight w:val="none"/>
              </w:rPr>
              <w:t>（红名单、信用评定分值均以投标文件递交截止日当</w:t>
            </w:r>
            <w:r>
              <w:rPr>
                <w:rFonts w:hint="eastAsia"/>
                <w:b/>
                <w:bCs/>
                <w:highlight w:val="none"/>
                <w:lang w:val="en-US" w:eastAsia="zh-CN"/>
              </w:rPr>
              <w:t>时</w:t>
            </w:r>
            <w:r>
              <w:rPr>
                <w:rFonts w:hint="eastAsia"/>
                <w:b/>
                <w:bCs/>
                <w:highlight w:val="none"/>
              </w:rPr>
              <w:t>的查询结果为准。信用类型：</w:t>
            </w:r>
            <w:r>
              <w:rPr>
                <w:rFonts w:hint="eastAsia"/>
                <w:b/>
                <w:bCs/>
                <w:highlight w:val="none"/>
                <w:lang w:val="en-US" w:eastAsia="zh-CN"/>
              </w:rPr>
              <w:t>服务类</w:t>
            </w:r>
            <w:r>
              <w:rPr>
                <w:rFonts w:hint="eastAsia"/>
                <w:b/>
                <w:bCs/>
                <w:highlight w:val="none"/>
              </w:rPr>
              <w:t>）。</w:t>
            </w:r>
          </w:p>
        </w:tc>
      </w:tr>
    </w:tbl>
    <w:p w14:paraId="5BD83EB7">
      <w:pPr>
        <w:rPr>
          <w:rFonts w:ascii="Garamond" w:hAnsi="Garamond"/>
          <w:color w:val="000000" w:themeColor="text1"/>
          <w:highlight w:val="none"/>
          <w14:textFill>
            <w14:solidFill>
              <w14:schemeClr w14:val="tx1"/>
            </w14:solidFill>
          </w14:textFill>
        </w:rPr>
      </w:pPr>
      <w:r>
        <w:rPr>
          <w:rFonts w:ascii="Garamond" w:hAnsi="Garamond"/>
          <w:color w:val="000000" w:themeColor="text1"/>
          <w:highlight w:val="none"/>
          <w14:textFill>
            <w14:solidFill>
              <w14:schemeClr w14:val="tx1"/>
            </w14:solidFill>
          </w14:textFill>
        </w:rPr>
        <w:br w:type="page"/>
      </w:r>
    </w:p>
    <w:p w14:paraId="378437A0">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highlight w:val="none"/>
        </w:rPr>
      </w:pPr>
      <w:r>
        <w:rPr>
          <w:rFonts w:hint="eastAsia" w:ascii="宋体" w:hAnsi="宋体" w:eastAsia="宋体" w:cs="宋体"/>
          <w:b/>
          <w:bCs/>
          <w:highlight w:val="none"/>
        </w:rPr>
        <w:t xml:space="preserve">1. 评标方法 </w:t>
      </w:r>
    </w:p>
    <w:p w14:paraId="3616CC64">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本次评标采用综合评估法。评标委员会对满足招标文件实质性要求的投标文件，按照本章第 2.2 款规定的评分标准进行打分，并按得分由高到低顺序推荐中标候选人，或根据招标人授权直接确定中标人，但投标报价低于其成本的除外。综合评分相等时，评标委员会应按照评标办法前附表规定的优先次序推荐中标候选人或确定中标人。</w:t>
      </w:r>
    </w:p>
    <w:p w14:paraId="00FA17D8">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highlight w:val="none"/>
        </w:rPr>
      </w:pPr>
      <w:r>
        <w:rPr>
          <w:rFonts w:hint="eastAsia" w:ascii="宋体" w:hAnsi="宋体" w:eastAsia="宋体" w:cs="宋体"/>
          <w:b/>
          <w:bCs/>
          <w:highlight w:val="none"/>
        </w:rPr>
        <w:t xml:space="preserve">2. 评审标准 </w:t>
      </w:r>
    </w:p>
    <w:p w14:paraId="326DA9CC">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2.1 初步评审标准 </w:t>
      </w:r>
    </w:p>
    <w:p w14:paraId="1E9B89DD">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2.1.1 形式评审标准：见评标办法前附表。 </w:t>
      </w:r>
    </w:p>
    <w:p w14:paraId="0556F9E5">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2.1.2 资格评审标准：见评标办法前附表。（适用于未进行资格预审的） </w:t>
      </w:r>
    </w:p>
    <w:p w14:paraId="510550DC">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2.1.2 资格评审标准：见资格预审文件第三章“资格审查办法”详细审查标准。（适用于已进行资格预审的） </w:t>
      </w:r>
    </w:p>
    <w:p w14:paraId="718577B5">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2.1.3 响应性评审标准：见评标办法前附表。 </w:t>
      </w:r>
    </w:p>
    <w:p w14:paraId="2A8F4A93">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highlight w:val="none"/>
        </w:rPr>
      </w:pPr>
      <w:r>
        <w:rPr>
          <w:rFonts w:hint="eastAsia" w:ascii="宋体" w:hAnsi="宋体" w:eastAsia="宋体" w:cs="宋体"/>
          <w:b/>
          <w:bCs/>
          <w:highlight w:val="none"/>
        </w:rPr>
        <w:t xml:space="preserve">2.2 分值构成与评分标准 </w:t>
      </w:r>
    </w:p>
    <w:p w14:paraId="1D0E27F1">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2.2.1 分值构成 </w:t>
      </w:r>
    </w:p>
    <w:p w14:paraId="5494B34A">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（1）工作大纲：见评标办法前附表； </w:t>
      </w:r>
    </w:p>
    <w:p w14:paraId="00A4F722">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（2）主要人员：见评标办法前附表； </w:t>
      </w:r>
    </w:p>
    <w:p w14:paraId="0B91835B">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（3）评标价：见评标办法前附表； </w:t>
      </w:r>
    </w:p>
    <w:p w14:paraId="5FD66DB9">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（4）其他评分因素：见评标办法前附表。 </w:t>
      </w:r>
    </w:p>
    <w:p w14:paraId="123E85B0">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2.2.2 评标基准价计算 </w:t>
      </w:r>
    </w:p>
    <w:p w14:paraId="77046262">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lang w:val="zh-CN"/>
        </w:rPr>
      </w:pPr>
      <w:r>
        <w:rPr>
          <w:rFonts w:hint="eastAsia" w:ascii="宋体" w:hAnsi="宋体" w:eastAsia="宋体" w:cs="宋体"/>
          <w:highlight w:val="none"/>
        </w:rPr>
        <w:t>评标基准价计算方法：见评标办法前附表。</w:t>
      </w:r>
    </w:p>
    <w:p w14:paraId="5C31F8EE">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2.2.3 评标价的偏差率计算 </w:t>
      </w:r>
    </w:p>
    <w:p w14:paraId="19F3ED34">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评标价的偏差率计算公式：见评标办法前附表。 </w:t>
      </w:r>
    </w:p>
    <w:p w14:paraId="0529BBD3">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2.2.4 评分标准 </w:t>
      </w:r>
    </w:p>
    <w:p w14:paraId="3816A1E2">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（1）工作大纲评分标准：见评标办法前附表； </w:t>
      </w:r>
    </w:p>
    <w:p w14:paraId="61E83F1F">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（2）主要人员评分标准：见评标办法前附表； </w:t>
      </w:r>
    </w:p>
    <w:p w14:paraId="0F230EBF">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（3）评标价评分标准：见评标办法前附表； </w:t>
      </w:r>
    </w:p>
    <w:p w14:paraId="5F9F77D2">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（4）其他因素评分标准：见评标办法前附表。 </w:t>
      </w:r>
    </w:p>
    <w:p w14:paraId="2E4E6E56">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highlight w:val="none"/>
        </w:rPr>
      </w:pPr>
      <w:r>
        <w:rPr>
          <w:rFonts w:hint="eastAsia" w:ascii="宋体" w:hAnsi="宋体" w:eastAsia="宋体" w:cs="宋体"/>
          <w:b/>
          <w:bCs/>
          <w:highlight w:val="none"/>
        </w:rPr>
        <w:t xml:space="preserve">3. 评标程序 </w:t>
      </w:r>
    </w:p>
    <w:p w14:paraId="2B273545">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highlight w:val="none"/>
        </w:rPr>
      </w:pPr>
      <w:r>
        <w:rPr>
          <w:rFonts w:hint="eastAsia" w:ascii="宋体" w:hAnsi="宋体" w:eastAsia="宋体" w:cs="宋体"/>
          <w:b/>
          <w:bCs/>
          <w:highlight w:val="none"/>
        </w:rPr>
        <w:t xml:space="preserve">3.1 第一个信封初步评审 </w:t>
      </w:r>
    </w:p>
    <w:p w14:paraId="7BD7D849">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3.1.1评标委员会依据本章第2.1款规定的标准对投标文件第一个信封（商务及技术文件）进行初步评审。有一项不符合评审标准的，评标委员会应否决其投标。</w:t>
      </w:r>
    </w:p>
    <w:p w14:paraId="722DC527">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本项目初步评审程序为：</w:t>
      </w:r>
    </w:p>
    <w:p w14:paraId="164C3FDB">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①评标委员会依据本章第2.1.1、2.1.3款规定的标准对投标文件第一个信封（商务及技术文件）进行形式评审与响应性评审；</w:t>
      </w:r>
    </w:p>
    <w:p w14:paraId="37443441">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②评标委员会根据本章第2.1.2款规定的标准对投标人进行资格评审，并确定通过第一信封资格审查的投标人名单。</w:t>
      </w:r>
    </w:p>
    <w:p w14:paraId="5855732C">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highlight w:val="none"/>
        </w:rPr>
      </w:pPr>
      <w:r>
        <w:rPr>
          <w:rFonts w:hint="eastAsia" w:ascii="宋体" w:hAnsi="宋体" w:eastAsia="宋体" w:cs="宋体"/>
          <w:b/>
          <w:bCs/>
          <w:highlight w:val="none"/>
        </w:rPr>
        <w:t xml:space="preserve">3.2 第一个信封详细评审 </w:t>
      </w:r>
    </w:p>
    <w:p w14:paraId="43C8D05A">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3.2.1 评标委员会按本章第2.2款规定的量化因素和分值进行打分，并计算出各投标人的商务和技术得分。 </w:t>
      </w:r>
    </w:p>
    <w:p w14:paraId="059A0420">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color w:val="000000"/>
          <w:highlight w:val="none"/>
        </w:rPr>
        <w:t>（1）按本章第 2.2.4 项（1）目</w:t>
      </w:r>
      <w:r>
        <w:rPr>
          <w:rFonts w:hint="eastAsia" w:ascii="宋体" w:hAnsi="宋体" w:eastAsia="宋体" w:cs="宋体"/>
          <w:highlight w:val="none"/>
        </w:rPr>
        <w:t xml:space="preserve">规定的评审因素和分值对技术建议书部分计算出得分A； </w:t>
      </w:r>
    </w:p>
    <w:p w14:paraId="04A03E9A">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（2）按本章第 2.2.4 项（2）目规定的评审因素和分值对主要人员部分计算出得分B； </w:t>
      </w:r>
    </w:p>
    <w:p w14:paraId="71DE97AC">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（3）按本章第 2.2.4 项（4）目规定的评审因素和分值对其他部分计算出得分D。 </w:t>
      </w:r>
    </w:p>
    <w:p w14:paraId="4E2E2CA8">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3.2.2 投标人的商务和技术得分分值计算保留小数点后两位，小数点后第三位“四舍五入”。 </w:t>
      </w:r>
    </w:p>
    <w:p w14:paraId="4A28CBCC">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3.2.3 投标人的商务和技术得分=A+B+D。  </w:t>
      </w:r>
    </w:p>
    <w:p w14:paraId="38F5F4C8">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highlight w:val="none"/>
        </w:rPr>
      </w:pPr>
      <w:r>
        <w:rPr>
          <w:rFonts w:hint="eastAsia" w:ascii="宋体" w:hAnsi="宋体" w:eastAsia="宋体" w:cs="宋体"/>
          <w:b/>
          <w:bCs/>
          <w:highlight w:val="none"/>
        </w:rPr>
        <w:t xml:space="preserve">3.3 第二个信封开标 </w:t>
      </w:r>
    </w:p>
    <w:p w14:paraId="4C47CF8D">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第一个信封（商务及技术文件）评审结束后，招标人将按照第二章“投标人须知”第5.1款规定的时间和地点对通过投标文件第一个信封（商务及技术文件）评审的投标文件第二个信封（报价文件）进行开标。 </w:t>
      </w:r>
    </w:p>
    <w:p w14:paraId="59BA1A2A">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highlight w:val="none"/>
        </w:rPr>
      </w:pPr>
      <w:r>
        <w:rPr>
          <w:rFonts w:hint="eastAsia" w:ascii="宋体" w:hAnsi="宋体" w:eastAsia="宋体" w:cs="宋体"/>
          <w:b/>
          <w:bCs/>
          <w:highlight w:val="none"/>
        </w:rPr>
        <w:t xml:space="preserve">3.4 第二个信封初步评审 </w:t>
      </w:r>
    </w:p>
    <w:p w14:paraId="02564EB7">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3.4.1 评标委员会依据本章第2.1.1项、第2.1.3项规定的评审标准对投标文件第二个信封（报价文件）进行初步评审。有一项不符合评审标准的，评标委员会应否决其投标。 </w:t>
      </w:r>
    </w:p>
    <w:p w14:paraId="13020F43">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3.4.2 投标报价有算术错误的，评标委员会按以下原则对投标报价进行修正，修正的价格经投标人书面确认后具有约束力。投标人不接受修正价格的，评标委员会应否决其投标。 </w:t>
      </w:r>
    </w:p>
    <w:p w14:paraId="17FEAEB0">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（1）投标文件中的大写金额与小写金额不一致的，以大写金额为准； </w:t>
      </w:r>
    </w:p>
    <w:p w14:paraId="4BBC7AEB">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（2）总价金额与依据单价计算出的结果不一致的，以单价金额为准修正总价，但单价金额小数点有明显错误的除外； </w:t>
      </w:r>
    </w:p>
    <w:p w14:paraId="7C8F234B">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（3）当单价与数量相乘不等于合价时，以单价计算为准，如果单价有明显的小数点位置差错，应以标出的合价为准，同时对单价予以修正； </w:t>
      </w:r>
    </w:p>
    <w:p w14:paraId="4E7727A5">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（4）当各子目的合价累计不等于总价时，应以各子目合价累计数为准，修正总价。 </w:t>
      </w:r>
    </w:p>
    <w:p w14:paraId="2F90A888">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3.4.3 修正后的最终投标报价若超过最高投标限价（如有），评标委员会应否决其投标。 </w:t>
      </w:r>
    </w:p>
    <w:p w14:paraId="521C17FD">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3.4.4 修正后的最终投标报价仅作为签订合同的一个依据，不参与评标价得分的计算。 </w:t>
      </w:r>
    </w:p>
    <w:p w14:paraId="02F409F6">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highlight w:val="none"/>
        </w:rPr>
      </w:pPr>
      <w:r>
        <w:rPr>
          <w:rFonts w:hint="eastAsia" w:ascii="宋体" w:hAnsi="宋体" w:eastAsia="宋体" w:cs="宋体"/>
          <w:b/>
          <w:bCs/>
          <w:highlight w:val="none"/>
        </w:rPr>
        <w:t xml:space="preserve">3.5 第二个信封详细评审 </w:t>
      </w:r>
    </w:p>
    <w:p w14:paraId="55354AD0">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3.5.1 评标委员会按本章第2.2.4项（3）目规定的评审因素和分值对评标价计算出得分 C。评标价得分分值计算保留小数点后两位，小数点后第三位“四舍五入”。 </w:t>
      </w:r>
    </w:p>
    <w:p w14:paraId="38F8F95A">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3.5.2 投标人综合得分=投标人的商务和技术得分+C。 </w:t>
      </w:r>
    </w:p>
    <w:p w14:paraId="4883CEFE">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3.5.3 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 </w:t>
      </w:r>
    </w:p>
    <w:p w14:paraId="57A89806">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3.6 投标文件相关信息的核查 </w:t>
      </w:r>
    </w:p>
    <w:p w14:paraId="135B786E">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3.6.1 评标委员会应对在评标过程中发现的投标人与投标人之间、投标人与招标人之间存在的串通投标的情形进行评审和认定。投标人存在串通投标、弄虚作假、行贿等违法行为的，评标委员会应否决其投标。 </w:t>
      </w:r>
    </w:p>
    <w:p w14:paraId="2C045F81">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（1）有下列情形之一的，属于投标人相互串通投标： </w:t>
      </w:r>
    </w:p>
    <w:p w14:paraId="581A2D99">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a.投标人之间协商投标报价等投标文件的实质性内容； </w:t>
      </w:r>
    </w:p>
    <w:p w14:paraId="38AD1582">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b.投标人之间约定中标人； </w:t>
      </w:r>
    </w:p>
    <w:p w14:paraId="12E37BC5">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c.投标人之间约定部分投标人放弃投标或中标； </w:t>
      </w:r>
    </w:p>
    <w:p w14:paraId="77271656">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d.属于同一集团、协会、商会等组织成员的投标人按照该组织要求协同投标； </w:t>
      </w:r>
    </w:p>
    <w:p w14:paraId="363761B6">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e.投标人之间为谋取中标或排斥特定投标人而采取的其他联合行动。 </w:t>
      </w:r>
    </w:p>
    <w:p w14:paraId="10A4E906">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（2）有下列情形之一的，视为投标人相互串通投标： </w:t>
      </w:r>
    </w:p>
    <w:p w14:paraId="050F27C9">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a.不同投标人的投标文件由同一单位或个人编制； </w:t>
      </w:r>
    </w:p>
    <w:p w14:paraId="7358830C">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b.不同投标人委托同一单位或个人办理投标事宜； </w:t>
      </w:r>
    </w:p>
    <w:p w14:paraId="08D642E7">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c.不同投标人的投标文件载明的项目管理成员为同一人； </w:t>
      </w:r>
    </w:p>
    <w:p w14:paraId="77327115">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d.不同投标人的投标文件异常一致或投标报价呈规律性差异； </w:t>
      </w:r>
    </w:p>
    <w:p w14:paraId="5F4A0918">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e.不同投标人的投标文件相互混装； </w:t>
      </w:r>
    </w:p>
    <w:p w14:paraId="40130DFC">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f.不同投标人的投标保证金从同一单位或个人的账户转出。 </w:t>
      </w:r>
    </w:p>
    <w:p w14:paraId="6214C2F6">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（3）有下列情形之一的，属于招标人与投标人串通投标： </w:t>
      </w:r>
    </w:p>
    <w:p w14:paraId="23AF8C12">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a.招标人在开标前开启投标文件并将有关信息泄露给其他投标人; </w:t>
      </w:r>
    </w:p>
    <w:p w14:paraId="3549BE56">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b.招标人直接或间接向投标人泄露标底、评标委员会成员等信息； </w:t>
      </w:r>
    </w:p>
    <w:p w14:paraId="064D62CE">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c.招标人明示或暗示投标人压低或抬高投标报价； </w:t>
      </w:r>
    </w:p>
    <w:p w14:paraId="3A96E2C4">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d.招标人授意投标人撤换、修改投标文件； </w:t>
      </w:r>
    </w:p>
    <w:p w14:paraId="51C39C52">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e.招标人明示或暗示投标人为特定投标人中标提供方便； </w:t>
      </w:r>
    </w:p>
    <w:p w14:paraId="093B82FA">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f.招标人与投标人为谋求特定投标人中标而采取的其他串通行为。 </w:t>
      </w:r>
    </w:p>
    <w:p w14:paraId="6C944AB2">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（4）投标人有下列情形之一的，属于弄虚作假的行为： </w:t>
      </w:r>
    </w:p>
    <w:p w14:paraId="26EF49EB">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a.使用通过受让或租借等方式获取的资格、资质证书投标； </w:t>
      </w:r>
    </w:p>
    <w:p w14:paraId="61BCC739">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b.使用伪造、变造的许可证件； </w:t>
      </w:r>
    </w:p>
    <w:p w14:paraId="5DCCFCA1">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c.提供虚假的业绩； </w:t>
      </w:r>
    </w:p>
    <w:p w14:paraId="27963A37">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d.提供虚假的项目负责人或主要技术人员简历、劳动关系证明； </w:t>
      </w:r>
    </w:p>
    <w:p w14:paraId="35564F0C">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e.提供虚假的信用状况； </w:t>
      </w:r>
    </w:p>
    <w:p w14:paraId="3C42A40A">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f.其他弄虚作假的行为。 </w:t>
      </w:r>
    </w:p>
    <w:p w14:paraId="6D6BD401">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highlight w:val="none"/>
        </w:rPr>
      </w:pPr>
      <w:r>
        <w:rPr>
          <w:rFonts w:hint="eastAsia" w:ascii="宋体" w:hAnsi="宋体" w:eastAsia="宋体" w:cs="宋体"/>
          <w:b/>
          <w:bCs/>
          <w:highlight w:val="none"/>
        </w:rPr>
        <w:t xml:space="preserve">3.7 投标文件的澄清和说明 </w:t>
      </w:r>
    </w:p>
    <w:p w14:paraId="7A429D78">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3.7.1 在评标过程中，评标委员会可以书面形式要求投标人对投标文件中含义不明确的内容、明显文字或计算错误进行书面澄清或说明。评标委员会不接受投标人主动提出的澄清、说明。投标人不按评标委员会要求澄清或说明的，评标委员会应否决其投标。 </w:t>
      </w:r>
    </w:p>
    <w:p w14:paraId="116DEF0E">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3.7.2 澄清和说明不得超出投标文件的范围或改变投标文件的实质性内容（算术性错误的修正除外）。投标人的书面澄清、说明属于投标文件的组成部分。 </w:t>
      </w:r>
    </w:p>
    <w:p w14:paraId="3EF2734E">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3.7.3 评标委员会不得暗示或诱导投标人作出澄清、说明，对投标人提交的澄清、说明有疑问的，可以要求投标人进一步澄清或说明，直至满足评标委员会的要求。 </w:t>
      </w:r>
    </w:p>
    <w:p w14:paraId="0FDEE5D9">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3.7.4 凡超出招标文件规定的或给发包人带来未曾要求的利益的变化、偏差或其他因素在评标时不予考虑。 </w:t>
      </w:r>
    </w:p>
    <w:p w14:paraId="7FB61901">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bCs/>
          <w:highlight w:val="none"/>
        </w:rPr>
      </w:pPr>
      <w:r>
        <w:rPr>
          <w:rFonts w:hint="eastAsia" w:ascii="宋体" w:hAnsi="宋体" w:eastAsia="宋体" w:cs="宋体"/>
          <w:b/>
          <w:bCs/>
          <w:highlight w:val="none"/>
        </w:rPr>
        <w:t xml:space="preserve">3.8 不得否决投标的情形 </w:t>
      </w:r>
    </w:p>
    <w:p w14:paraId="071EF36A">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投标文件存在第二章“投标人须知”第 1.12.3 项所列情形的，均视为细微偏差，评标委员会不得否决投标人的投标，应按照第二章“投标人须知”第 1.12.4 项规定的原则处理。 </w:t>
      </w:r>
    </w:p>
    <w:p w14:paraId="09F1673C">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3.9 评标结果 </w:t>
      </w:r>
    </w:p>
    <w:p w14:paraId="71263B5F">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 xml:space="preserve">3.9.1 除第二章“投标人须知”前附表授权直接确定中标人外，评标委员会按照得分由高到低的顺序推荐中标候选人，并标明排序。 </w:t>
      </w:r>
    </w:p>
    <w:p w14:paraId="77A0AB8E">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highlight w:val="none"/>
        </w:rPr>
      </w:pPr>
      <w:r>
        <w:rPr>
          <w:rFonts w:hint="eastAsia" w:ascii="宋体" w:hAnsi="宋体" w:eastAsia="宋体" w:cs="宋体"/>
          <w:highlight w:val="none"/>
        </w:rPr>
        <w:t>3.9.2 评标委员会完成评标后，应向招标人提交书面评标报告。如果评标委员会认为在评标过程中有影响最终评标结果的不能确定的特殊问题，应在评标意见中记载并提请招标人决定。</w:t>
      </w:r>
    </w:p>
    <w:p w14:paraId="206C1A07">
      <w:pPr>
        <w:snapToGrid w:val="0"/>
        <w:spacing w:line="360" w:lineRule="auto"/>
        <w:ind w:firstLine="643" w:firstLineChars="200"/>
        <w:rPr>
          <w:rFonts w:ascii="Garamond" w:hAnsi="Garamond"/>
          <w:b/>
          <w:color w:val="000000" w:themeColor="text1"/>
          <w:sz w:val="32"/>
          <w:szCs w:val="32"/>
          <w:highlight w:val="none"/>
          <w14:textFill>
            <w14:solidFill>
              <w14:schemeClr w14:val="tx1"/>
            </w14:solidFill>
          </w14:textFill>
        </w:rPr>
      </w:pPr>
      <w:r>
        <w:rPr>
          <w:rFonts w:ascii="Garamond" w:hAnsi="Garamond"/>
          <w:b/>
          <w:color w:val="000000" w:themeColor="text1"/>
          <w:sz w:val="32"/>
          <w:szCs w:val="32"/>
          <w:highlight w:val="none"/>
          <w14:textFill>
            <w14:solidFill>
              <w14:schemeClr w14:val="tx1"/>
            </w14:solidFill>
          </w14:textFill>
        </w:rPr>
        <w:br w:type="page"/>
      </w:r>
    </w:p>
    <w:p w14:paraId="47BA711D">
      <w:pPr>
        <w:spacing w:line="280" w:lineRule="exact"/>
        <w:ind w:firstLine="916" w:firstLineChars="285"/>
        <w:rPr>
          <w:rFonts w:ascii="Garamond" w:hAnsi="Garamond"/>
          <w:b/>
          <w:color w:val="000000" w:themeColor="text1"/>
          <w:sz w:val="32"/>
          <w:szCs w:val="32"/>
          <w:highlight w:val="none"/>
          <w14:textFill>
            <w14:solidFill>
              <w14:schemeClr w14:val="tx1"/>
            </w14:solidFill>
          </w14:textFill>
        </w:rPr>
      </w:pPr>
    </w:p>
    <w:p w14:paraId="36469E40">
      <w:pPr>
        <w:spacing w:line="280" w:lineRule="exact"/>
        <w:ind w:firstLine="916" w:firstLineChars="285"/>
        <w:rPr>
          <w:rFonts w:ascii="Garamond" w:hAnsi="Garamond"/>
          <w:b/>
          <w:color w:val="000000" w:themeColor="text1"/>
          <w:sz w:val="32"/>
          <w:szCs w:val="32"/>
          <w:highlight w:val="none"/>
          <w14:textFill>
            <w14:solidFill>
              <w14:schemeClr w14:val="tx1"/>
            </w14:solidFill>
          </w14:textFill>
        </w:rPr>
      </w:pPr>
    </w:p>
    <w:p w14:paraId="57018D7E">
      <w:pPr>
        <w:spacing w:line="280" w:lineRule="exact"/>
        <w:ind w:firstLine="916" w:firstLineChars="285"/>
        <w:rPr>
          <w:rFonts w:ascii="Garamond" w:hAnsi="Garamond"/>
          <w:b/>
          <w:color w:val="000000" w:themeColor="text1"/>
          <w:sz w:val="32"/>
          <w:szCs w:val="32"/>
          <w:highlight w:val="none"/>
          <w14:textFill>
            <w14:solidFill>
              <w14:schemeClr w14:val="tx1"/>
            </w14:solidFill>
          </w14:textFill>
        </w:rPr>
      </w:pPr>
    </w:p>
    <w:p w14:paraId="5A0477D9">
      <w:pPr>
        <w:spacing w:line="280" w:lineRule="exact"/>
        <w:ind w:firstLine="916" w:firstLineChars="285"/>
        <w:rPr>
          <w:rFonts w:ascii="Garamond" w:hAnsi="Garamond"/>
          <w:b/>
          <w:color w:val="000000" w:themeColor="text1"/>
          <w:sz w:val="32"/>
          <w:szCs w:val="32"/>
          <w:highlight w:val="none"/>
          <w14:textFill>
            <w14:solidFill>
              <w14:schemeClr w14:val="tx1"/>
            </w14:solidFill>
          </w14:textFill>
        </w:rPr>
      </w:pPr>
    </w:p>
    <w:p w14:paraId="1491064D">
      <w:pPr>
        <w:spacing w:line="280" w:lineRule="exact"/>
        <w:ind w:firstLine="916" w:firstLineChars="285"/>
        <w:rPr>
          <w:rFonts w:ascii="Garamond" w:hAnsi="Garamond"/>
          <w:b/>
          <w:color w:val="000000" w:themeColor="text1"/>
          <w:sz w:val="32"/>
          <w:szCs w:val="32"/>
          <w:highlight w:val="none"/>
          <w14:textFill>
            <w14:solidFill>
              <w14:schemeClr w14:val="tx1"/>
            </w14:solidFill>
          </w14:textFill>
        </w:rPr>
      </w:pPr>
    </w:p>
    <w:p w14:paraId="529C3436">
      <w:pPr>
        <w:spacing w:line="280" w:lineRule="exact"/>
        <w:ind w:firstLine="916" w:firstLineChars="285"/>
        <w:rPr>
          <w:rFonts w:ascii="Garamond" w:hAnsi="Garamond"/>
          <w:b/>
          <w:color w:val="000000" w:themeColor="text1"/>
          <w:sz w:val="32"/>
          <w:szCs w:val="32"/>
          <w:highlight w:val="none"/>
          <w14:textFill>
            <w14:solidFill>
              <w14:schemeClr w14:val="tx1"/>
            </w14:solidFill>
          </w14:textFill>
        </w:rPr>
      </w:pPr>
    </w:p>
    <w:p w14:paraId="34021447">
      <w:pPr>
        <w:spacing w:line="280" w:lineRule="exact"/>
        <w:ind w:firstLine="916" w:firstLineChars="285"/>
        <w:rPr>
          <w:rFonts w:ascii="Garamond" w:hAnsi="Garamond"/>
          <w:b/>
          <w:color w:val="000000" w:themeColor="text1"/>
          <w:sz w:val="32"/>
          <w:szCs w:val="32"/>
          <w:highlight w:val="none"/>
          <w14:textFill>
            <w14:solidFill>
              <w14:schemeClr w14:val="tx1"/>
            </w14:solidFill>
          </w14:textFill>
        </w:rPr>
      </w:pPr>
    </w:p>
    <w:p w14:paraId="31DA39BE">
      <w:pPr>
        <w:spacing w:line="280" w:lineRule="exact"/>
        <w:ind w:firstLine="916" w:firstLineChars="285"/>
        <w:rPr>
          <w:rFonts w:ascii="Garamond" w:hAnsi="Garamond"/>
          <w:b/>
          <w:color w:val="000000" w:themeColor="text1"/>
          <w:sz w:val="32"/>
          <w:szCs w:val="32"/>
          <w:highlight w:val="none"/>
          <w14:textFill>
            <w14:solidFill>
              <w14:schemeClr w14:val="tx1"/>
            </w14:solidFill>
          </w14:textFill>
        </w:rPr>
      </w:pPr>
    </w:p>
    <w:p w14:paraId="33850013">
      <w:pPr>
        <w:spacing w:line="280" w:lineRule="exact"/>
        <w:ind w:firstLine="916" w:firstLineChars="285"/>
        <w:rPr>
          <w:rFonts w:ascii="Garamond" w:hAnsi="Garamond"/>
          <w:b/>
          <w:color w:val="000000" w:themeColor="text1"/>
          <w:sz w:val="32"/>
          <w:szCs w:val="32"/>
          <w:highlight w:val="none"/>
          <w14:textFill>
            <w14:solidFill>
              <w14:schemeClr w14:val="tx1"/>
            </w14:solidFill>
          </w14:textFill>
        </w:rPr>
      </w:pPr>
    </w:p>
    <w:p w14:paraId="3196D5E6">
      <w:pPr>
        <w:spacing w:line="280" w:lineRule="exact"/>
        <w:ind w:firstLine="916" w:firstLineChars="285"/>
        <w:rPr>
          <w:rFonts w:ascii="Garamond" w:hAnsi="Garamond"/>
          <w:b/>
          <w:color w:val="000000" w:themeColor="text1"/>
          <w:sz w:val="32"/>
          <w:szCs w:val="32"/>
          <w:highlight w:val="none"/>
          <w14:textFill>
            <w14:solidFill>
              <w14:schemeClr w14:val="tx1"/>
            </w14:solidFill>
          </w14:textFill>
        </w:rPr>
      </w:pPr>
    </w:p>
    <w:p w14:paraId="485CCCF5">
      <w:pPr>
        <w:pStyle w:val="2"/>
        <w:spacing w:after="120" w:line="338" w:lineRule="auto"/>
        <w:jc w:val="center"/>
        <w:rPr>
          <w:rFonts w:ascii="Garamond" w:hAnsi="Garamond"/>
          <w:color w:val="000000" w:themeColor="text1"/>
          <w:sz w:val="48"/>
          <w:szCs w:val="48"/>
          <w:highlight w:val="none"/>
          <w14:textFill>
            <w14:solidFill>
              <w14:schemeClr w14:val="tx1"/>
            </w14:solidFill>
          </w14:textFill>
        </w:rPr>
      </w:pPr>
      <w:bookmarkStart w:id="76" w:name="_Toc353197096"/>
      <w:r>
        <w:rPr>
          <w:rFonts w:ascii="Garamond" w:hAnsi="Garamond"/>
          <w:color w:val="000000" w:themeColor="text1"/>
          <w:sz w:val="48"/>
          <w:szCs w:val="48"/>
          <w:highlight w:val="none"/>
          <w14:textFill>
            <w14:solidFill>
              <w14:schemeClr w14:val="tx1"/>
            </w14:solidFill>
          </w14:textFill>
        </w:rPr>
        <w:t>第四章  合同条款及格式</w:t>
      </w:r>
      <w:bookmarkEnd w:id="76"/>
    </w:p>
    <w:p w14:paraId="5D8948AC">
      <w:pPr>
        <w:spacing w:line="36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13310DDE">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2F1776FB">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31744BB3">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27B712A8">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194B29BD">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34A18670">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6E58B94A">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532EACA4">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14A8BFA0">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502995FF">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7C6AEDC0">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3D451797">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5D739CB4">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6F5F10F2">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5E5C6640">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0951CD59">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333B448D">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126456DE">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25AD1463">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3F88C8A8">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03B82376">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3BA90CD4">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0C082FE3">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78E77FD2">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05A7A6DC">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3B5E6ABE">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458F513E">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4E8532D7">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342AD62A">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2869B24B">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200DA328">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302B3228">
      <w:pPr>
        <w:spacing w:line="280" w:lineRule="exact"/>
        <w:ind w:firstLine="912" w:firstLineChars="285"/>
        <w:jc w:val="center"/>
        <w:rPr>
          <w:rFonts w:ascii="Garamond" w:hAnsi="Garamond"/>
          <w:color w:val="000000" w:themeColor="text1"/>
          <w:sz w:val="32"/>
          <w:szCs w:val="32"/>
          <w:highlight w:val="none"/>
          <w14:textFill>
            <w14:solidFill>
              <w14:schemeClr w14:val="tx1"/>
            </w14:solidFill>
          </w14:textFill>
        </w:rPr>
      </w:pPr>
    </w:p>
    <w:p w14:paraId="3B1BE319">
      <w:pPr>
        <w:pStyle w:val="3"/>
        <w:jc w:val="center"/>
        <w:rPr>
          <w:rFonts w:ascii="Garamond" w:hAnsi="Garamond"/>
          <w:color w:val="000000" w:themeColor="text1"/>
          <w:highlight w:val="none"/>
          <w14:textFill>
            <w14:solidFill>
              <w14:schemeClr w14:val="tx1"/>
            </w14:solidFill>
          </w14:textFill>
        </w:rPr>
        <w:sectPr>
          <w:footerReference r:id="rId10" w:type="even"/>
          <w:pgSz w:w="11906" w:h="16838"/>
          <w:pgMar w:top="1417" w:right="1247" w:bottom="1417" w:left="1417" w:header="851" w:footer="680" w:gutter="0"/>
          <w:pgNumType w:fmt="decimal"/>
          <w:cols w:space="0" w:num="1"/>
          <w:docGrid w:linePitch="312" w:charSpace="0"/>
        </w:sectPr>
      </w:pPr>
    </w:p>
    <w:p w14:paraId="635D8393">
      <w:pPr>
        <w:pStyle w:val="23"/>
        <w:snapToGrid w:val="0"/>
        <w:spacing w:line="480" w:lineRule="auto"/>
        <w:jc w:val="center"/>
        <w:rPr>
          <w:rFonts w:ascii="Times New Roman" w:hAnsi="Times New Roman"/>
          <w:b/>
          <w:color w:val="000000"/>
          <w:sz w:val="36"/>
          <w:szCs w:val="28"/>
          <w:highlight w:val="none"/>
        </w:rPr>
      </w:pPr>
      <w:bookmarkStart w:id="77" w:name="_Toc523942268"/>
      <w:r>
        <w:rPr>
          <w:rFonts w:hint="eastAsia" w:ascii="Times New Roman" w:hAnsi="Times New Roman"/>
          <w:b/>
          <w:color w:val="000000"/>
          <w:sz w:val="36"/>
          <w:szCs w:val="28"/>
          <w:highlight w:val="none"/>
        </w:rPr>
        <w:t>技术咨询合同</w:t>
      </w:r>
    </w:p>
    <w:p w14:paraId="44DB8A6B">
      <w:pPr>
        <w:pStyle w:val="23"/>
        <w:snapToGrid w:val="0"/>
        <w:spacing w:line="360" w:lineRule="auto"/>
        <w:ind w:firstLine="413" w:firstLineChars="196"/>
        <w:rPr>
          <w:rFonts w:ascii="Times New Roman" w:hAnsi="Times New Roman"/>
          <w:b/>
          <w:color w:val="000000"/>
          <w:szCs w:val="30"/>
          <w:highlight w:val="none"/>
        </w:rPr>
      </w:pPr>
    </w:p>
    <w:p w14:paraId="78C15FBF">
      <w:pPr>
        <w:pStyle w:val="23"/>
        <w:snapToGrid w:val="0"/>
        <w:spacing w:line="360" w:lineRule="auto"/>
        <w:ind w:firstLine="413" w:firstLineChars="196"/>
        <w:rPr>
          <w:rFonts w:ascii="Times New Roman" w:hAnsi="Times New Roman"/>
          <w:b/>
          <w:color w:val="000000"/>
          <w:szCs w:val="30"/>
          <w:highlight w:val="none"/>
        </w:rPr>
      </w:pPr>
      <w:r>
        <w:rPr>
          <w:rFonts w:hint="eastAsia" w:ascii="Times New Roman" w:hAnsi="Times New Roman"/>
          <w:b/>
          <w:color w:val="000000"/>
          <w:szCs w:val="30"/>
          <w:highlight w:val="none"/>
        </w:rPr>
        <w:t>委托方（甲方）：</w:t>
      </w:r>
      <w:r>
        <w:rPr>
          <w:rFonts w:hint="eastAsia" w:ascii="Times New Roman" w:hAnsi="Times New Roman"/>
          <w:b/>
          <w:color w:val="000000"/>
          <w:szCs w:val="30"/>
          <w:highlight w:val="none"/>
          <w:u w:val="single"/>
        </w:rPr>
        <w:t xml:space="preserve">              </w:t>
      </w:r>
    </w:p>
    <w:p w14:paraId="1C2FFA66">
      <w:pPr>
        <w:spacing w:line="360" w:lineRule="auto"/>
        <w:ind w:firstLine="602" w:firstLineChars="200"/>
        <w:rPr>
          <w:color w:val="000000"/>
          <w:highlight w:val="none"/>
        </w:rPr>
      </w:pPr>
      <w:r>
        <w:rPr>
          <w:b/>
          <w:color w:val="000000"/>
          <w:sz w:val="30"/>
          <w:szCs w:val="30"/>
          <w:highlight w:val="none"/>
        </w:rPr>
        <w:t xml:space="preserve">   </w:t>
      </w:r>
      <w:r>
        <w:rPr>
          <w:rFonts w:hint="eastAsia"/>
          <w:color w:val="000000"/>
          <w:highlight w:val="none"/>
        </w:rPr>
        <w:t>法定代表人：</w:t>
      </w:r>
      <w:r>
        <w:rPr>
          <w:color w:val="000000"/>
          <w:highlight w:val="none"/>
          <w:u w:val="single"/>
        </w:rPr>
        <w:t xml:space="preserve">                        </w:t>
      </w:r>
    </w:p>
    <w:p w14:paraId="5CDC642B">
      <w:pPr>
        <w:spacing w:line="360" w:lineRule="auto"/>
        <w:ind w:firstLine="1050" w:firstLineChars="500"/>
        <w:rPr>
          <w:color w:val="000000"/>
          <w:highlight w:val="none"/>
        </w:rPr>
      </w:pPr>
      <w:r>
        <w:rPr>
          <w:rFonts w:hint="eastAsia"/>
          <w:color w:val="000000"/>
          <w:highlight w:val="none"/>
        </w:rPr>
        <w:t>项目联系人：</w:t>
      </w:r>
      <w:r>
        <w:rPr>
          <w:color w:val="000000"/>
          <w:highlight w:val="none"/>
          <w:u w:val="single"/>
        </w:rPr>
        <w:t xml:space="preserve">   </w:t>
      </w:r>
      <w:r>
        <w:rPr>
          <w:rFonts w:hint="eastAsia"/>
          <w:color w:val="000000"/>
          <w:highlight w:val="none"/>
          <w:u w:val="single"/>
        </w:rPr>
        <w:t xml:space="preserve">   </w:t>
      </w:r>
      <w:r>
        <w:rPr>
          <w:color w:val="000000"/>
          <w:highlight w:val="none"/>
          <w:u w:val="single"/>
        </w:rPr>
        <w:t xml:space="preserve">                </w:t>
      </w:r>
    </w:p>
    <w:p w14:paraId="2FB71E40">
      <w:pPr>
        <w:spacing w:line="360" w:lineRule="auto"/>
        <w:ind w:firstLine="1050" w:firstLineChars="500"/>
        <w:rPr>
          <w:color w:val="000000"/>
          <w:highlight w:val="none"/>
        </w:rPr>
      </w:pPr>
      <w:r>
        <w:rPr>
          <w:rFonts w:hint="eastAsia"/>
          <w:color w:val="000000"/>
          <w:highlight w:val="none"/>
        </w:rPr>
        <w:t>联系方式：</w:t>
      </w:r>
      <w:r>
        <w:rPr>
          <w:color w:val="000000"/>
          <w:highlight w:val="none"/>
          <w:u w:val="single"/>
        </w:rPr>
        <w:t xml:space="preserve">    </w:t>
      </w:r>
      <w:r>
        <w:rPr>
          <w:rFonts w:hint="eastAsia" w:cs="宋体"/>
          <w:color w:val="000000"/>
          <w:szCs w:val="21"/>
          <w:highlight w:val="none"/>
          <w:u w:val="single"/>
        </w:rPr>
        <w:t xml:space="preserve">   </w:t>
      </w:r>
      <w:r>
        <w:rPr>
          <w:color w:val="000000"/>
          <w:highlight w:val="none"/>
          <w:u w:val="single"/>
        </w:rPr>
        <w:t xml:space="preserve">           </w:t>
      </w:r>
    </w:p>
    <w:p w14:paraId="00A477FE">
      <w:pPr>
        <w:spacing w:line="360" w:lineRule="auto"/>
        <w:ind w:firstLine="1050" w:firstLineChars="500"/>
        <w:rPr>
          <w:color w:val="000000"/>
          <w:highlight w:val="none"/>
        </w:rPr>
      </w:pPr>
      <w:r>
        <w:rPr>
          <w:rFonts w:hint="eastAsia"/>
          <w:color w:val="000000"/>
          <w:highlight w:val="none"/>
        </w:rPr>
        <w:t>通讯地址：</w:t>
      </w:r>
      <w:r>
        <w:rPr>
          <w:color w:val="000000"/>
          <w:highlight w:val="none"/>
          <w:u w:val="single"/>
        </w:rPr>
        <w:t xml:space="preserve">  </w:t>
      </w:r>
      <w:r>
        <w:rPr>
          <w:rFonts w:hint="eastAsia"/>
          <w:color w:val="000000"/>
          <w:highlight w:val="none"/>
          <w:u w:val="single"/>
        </w:rPr>
        <w:t xml:space="preserve"> </w:t>
      </w:r>
      <w:r>
        <w:rPr>
          <w:color w:val="000000"/>
          <w:highlight w:val="none"/>
          <w:u w:val="single"/>
        </w:rPr>
        <w:t xml:space="preserve">    </w:t>
      </w:r>
    </w:p>
    <w:p w14:paraId="56E4D3E1">
      <w:pPr>
        <w:spacing w:line="360" w:lineRule="auto"/>
        <w:ind w:firstLine="1050" w:firstLineChars="500"/>
        <w:rPr>
          <w:color w:val="000000"/>
          <w:highlight w:val="none"/>
        </w:rPr>
      </w:pPr>
      <w:r>
        <w:rPr>
          <w:rFonts w:hint="eastAsia"/>
          <w:color w:val="000000"/>
          <w:highlight w:val="none"/>
        </w:rPr>
        <w:t>电</w:t>
      </w:r>
      <w:r>
        <w:rPr>
          <w:color w:val="000000"/>
          <w:highlight w:val="none"/>
        </w:rPr>
        <w:t xml:space="preserve">    </w:t>
      </w:r>
      <w:r>
        <w:rPr>
          <w:rFonts w:hint="eastAsia"/>
          <w:color w:val="000000"/>
          <w:highlight w:val="none"/>
        </w:rPr>
        <w:t>话：</w:t>
      </w:r>
      <w:r>
        <w:rPr>
          <w:color w:val="000000"/>
          <w:highlight w:val="none"/>
        </w:rPr>
        <w:t xml:space="preserve"> </w:t>
      </w:r>
      <w:r>
        <w:rPr>
          <w:color w:val="000000"/>
          <w:highlight w:val="none"/>
          <w:u w:val="single"/>
        </w:rPr>
        <w:t xml:space="preserve">                      </w:t>
      </w:r>
      <w:r>
        <w:rPr>
          <w:color w:val="000000"/>
          <w:highlight w:val="none"/>
        </w:rPr>
        <w:t xml:space="preserve">  </w:t>
      </w:r>
    </w:p>
    <w:p w14:paraId="19953CA5">
      <w:pPr>
        <w:spacing w:line="360" w:lineRule="auto"/>
        <w:ind w:firstLine="1050" w:firstLineChars="500"/>
        <w:rPr>
          <w:color w:val="000000"/>
          <w:highlight w:val="none"/>
        </w:rPr>
      </w:pPr>
      <w:r>
        <w:rPr>
          <w:rFonts w:hint="eastAsia"/>
          <w:color w:val="000000"/>
          <w:highlight w:val="none"/>
        </w:rPr>
        <w:t>传真：</w:t>
      </w:r>
      <w:r>
        <w:rPr>
          <w:color w:val="000000"/>
          <w:highlight w:val="none"/>
          <w:u w:val="single"/>
        </w:rPr>
        <w:t xml:space="preserve">                      </w:t>
      </w:r>
    </w:p>
    <w:p w14:paraId="5AB66DC9">
      <w:pPr>
        <w:pStyle w:val="23"/>
        <w:snapToGrid w:val="0"/>
        <w:spacing w:line="360" w:lineRule="auto"/>
        <w:ind w:firstLine="590" w:firstLineChars="196"/>
        <w:rPr>
          <w:rFonts w:ascii="Times New Roman" w:hAnsi="Times New Roman"/>
          <w:b/>
          <w:color w:val="000000"/>
          <w:sz w:val="30"/>
          <w:szCs w:val="30"/>
          <w:highlight w:val="none"/>
        </w:rPr>
      </w:pPr>
    </w:p>
    <w:p w14:paraId="43D3D86F">
      <w:pPr>
        <w:pStyle w:val="23"/>
        <w:snapToGrid w:val="0"/>
        <w:spacing w:line="360" w:lineRule="auto"/>
        <w:ind w:firstLine="413" w:firstLineChars="196"/>
        <w:rPr>
          <w:rFonts w:ascii="Times New Roman" w:hAnsi="Times New Roman"/>
          <w:b/>
          <w:color w:val="000000"/>
          <w:szCs w:val="30"/>
          <w:highlight w:val="none"/>
          <w:u w:val="single"/>
        </w:rPr>
      </w:pPr>
      <w:r>
        <w:rPr>
          <w:rFonts w:hint="eastAsia" w:ascii="Times New Roman" w:hAnsi="Times New Roman"/>
          <w:b/>
          <w:color w:val="000000"/>
          <w:szCs w:val="30"/>
          <w:highlight w:val="none"/>
        </w:rPr>
        <w:t>受托方（乙方）：</w:t>
      </w:r>
      <w:r>
        <w:rPr>
          <w:rFonts w:hint="eastAsia" w:ascii="Times New Roman" w:hAnsi="Times New Roman"/>
          <w:b/>
          <w:color w:val="000000"/>
          <w:szCs w:val="30"/>
          <w:highlight w:val="none"/>
          <w:u w:val="single"/>
        </w:rPr>
        <w:t xml:space="preserve">              </w:t>
      </w:r>
    </w:p>
    <w:p w14:paraId="2CA15AD7">
      <w:pPr>
        <w:spacing w:line="360" w:lineRule="auto"/>
        <w:ind w:firstLine="1050" w:firstLineChars="500"/>
        <w:rPr>
          <w:color w:val="000000"/>
          <w:highlight w:val="none"/>
        </w:rPr>
      </w:pPr>
      <w:r>
        <w:rPr>
          <w:rFonts w:hint="eastAsia"/>
          <w:color w:val="000000"/>
          <w:highlight w:val="none"/>
        </w:rPr>
        <w:t>法定代表人：</w:t>
      </w:r>
      <w:r>
        <w:rPr>
          <w:color w:val="000000"/>
          <w:highlight w:val="none"/>
          <w:u w:val="single"/>
        </w:rPr>
        <w:t xml:space="preserve">                        </w:t>
      </w:r>
    </w:p>
    <w:p w14:paraId="095C0722">
      <w:pPr>
        <w:spacing w:line="360" w:lineRule="auto"/>
        <w:ind w:firstLine="1050" w:firstLineChars="500"/>
        <w:rPr>
          <w:color w:val="000000"/>
          <w:highlight w:val="none"/>
        </w:rPr>
      </w:pPr>
      <w:r>
        <w:rPr>
          <w:rFonts w:hint="eastAsia"/>
          <w:color w:val="000000"/>
          <w:highlight w:val="none"/>
        </w:rPr>
        <w:t>项目联系人：</w:t>
      </w:r>
      <w:r>
        <w:rPr>
          <w:color w:val="000000"/>
          <w:highlight w:val="none"/>
          <w:u w:val="single"/>
        </w:rPr>
        <w:t xml:space="preserve">   </w:t>
      </w:r>
      <w:r>
        <w:rPr>
          <w:rFonts w:hint="eastAsia"/>
          <w:color w:val="000000"/>
          <w:highlight w:val="none"/>
          <w:u w:val="single"/>
        </w:rPr>
        <w:t xml:space="preserve">  </w:t>
      </w:r>
      <w:r>
        <w:rPr>
          <w:color w:val="000000"/>
          <w:highlight w:val="none"/>
          <w:u w:val="single"/>
        </w:rPr>
        <w:t xml:space="preserve">       </w:t>
      </w:r>
      <w:r>
        <w:rPr>
          <w:rFonts w:hint="eastAsia"/>
          <w:color w:val="000000"/>
          <w:highlight w:val="none"/>
          <w:u w:val="single"/>
        </w:rPr>
        <w:t xml:space="preserve">   </w:t>
      </w:r>
      <w:r>
        <w:rPr>
          <w:color w:val="000000"/>
          <w:highlight w:val="none"/>
          <w:u w:val="single"/>
        </w:rPr>
        <w:t xml:space="preserve">        </w:t>
      </w:r>
    </w:p>
    <w:p w14:paraId="174717DE">
      <w:pPr>
        <w:spacing w:line="360" w:lineRule="auto"/>
        <w:ind w:firstLine="1050" w:firstLineChars="500"/>
        <w:rPr>
          <w:color w:val="000000"/>
          <w:highlight w:val="none"/>
        </w:rPr>
      </w:pPr>
      <w:r>
        <w:rPr>
          <w:rFonts w:hint="eastAsia"/>
          <w:color w:val="000000"/>
          <w:highlight w:val="none"/>
        </w:rPr>
        <w:t>联系方式：</w:t>
      </w:r>
      <w:r>
        <w:rPr>
          <w:color w:val="000000"/>
          <w:highlight w:val="none"/>
          <w:u w:val="single"/>
        </w:rPr>
        <w:t xml:space="preserve">    </w:t>
      </w:r>
      <w:r>
        <w:rPr>
          <w:rFonts w:hint="eastAsia"/>
          <w:color w:val="000000"/>
          <w:highlight w:val="none"/>
          <w:u w:val="single"/>
        </w:rPr>
        <w:t xml:space="preserve">            </w:t>
      </w:r>
      <w:r>
        <w:rPr>
          <w:color w:val="000000"/>
          <w:highlight w:val="none"/>
          <w:u w:val="single"/>
        </w:rPr>
        <w:t xml:space="preserve">           </w:t>
      </w:r>
    </w:p>
    <w:p w14:paraId="12940199">
      <w:pPr>
        <w:spacing w:line="360" w:lineRule="auto"/>
        <w:ind w:firstLine="1050" w:firstLineChars="500"/>
        <w:rPr>
          <w:color w:val="000000"/>
          <w:highlight w:val="none"/>
        </w:rPr>
      </w:pPr>
      <w:r>
        <w:rPr>
          <w:rFonts w:hint="eastAsia"/>
          <w:color w:val="000000"/>
          <w:highlight w:val="none"/>
        </w:rPr>
        <w:t>通讯地址：</w:t>
      </w:r>
      <w:r>
        <w:rPr>
          <w:color w:val="000000"/>
          <w:highlight w:val="none"/>
          <w:u w:val="single"/>
        </w:rPr>
        <w:t xml:space="preserve"> </w:t>
      </w:r>
      <w:r>
        <w:rPr>
          <w:rFonts w:hint="eastAsia"/>
          <w:color w:val="000000"/>
          <w:highlight w:val="none"/>
          <w:u w:val="single"/>
        </w:rPr>
        <w:t xml:space="preserve">         </w:t>
      </w:r>
      <w:r>
        <w:rPr>
          <w:color w:val="000000"/>
          <w:highlight w:val="none"/>
          <w:u w:val="single"/>
        </w:rPr>
        <w:t xml:space="preserve">                      </w:t>
      </w:r>
    </w:p>
    <w:p w14:paraId="6161EC5E">
      <w:pPr>
        <w:spacing w:line="360" w:lineRule="auto"/>
        <w:ind w:firstLine="1050" w:firstLineChars="500"/>
        <w:rPr>
          <w:color w:val="000000"/>
          <w:highlight w:val="none"/>
        </w:rPr>
      </w:pPr>
      <w:r>
        <w:rPr>
          <w:rFonts w:hint="eastAsia"/>
          <w:color w:val="000000"/>
          <w:highlight w:val="none"/>
        </w:rPr>
        <w:t>电</w:t>
      </w:r>
      <w:r>
        <w:rPr>
          <w:color w:val="000000"/>
          <w:highlight w:val="none"/>
        </w:rPr>
        <w:t xml:space="preserve">    </w:t>
      </w:r>
      <w:r>
        <w:rPr>
          <w:rFonts w:hint="eastAsia"/>
          <w:color w:val="000000"/>
          <w:highlight w:val="none"/>
        </w:rPr>
        <w:t>话：</w:t>
      </w:r>
      <w:r>
        <w:rPr>
          <w:color w:val="000000"/>
          <w:highlight w:val="none"/>
          <w:u w:val="single"/>
        </w:rPr>
        <w:t xml:space="preserve">                   </w:t>
      </w:r>
      <w:r>
        <w:rPr>
          <w:color w:val="000000"/>
          <w:highlight w:val="none"/>
        </w:rPr>
        <w:t xml:space="preserve">  </w:t>
      </w:r>
    </w:p>
    <w:p w14:paraId="72D50761">
      <w:pPr>
        <w:spacing w:line="360" w:lineRule="auto"/>
        <w:ind w:firstLine="1050" w:firstLineChars="500"/>
        <w:rPr>
          <w:color w:val="000000"/>
          <w:highlight w:val="none"/>
        </w:rPr>
      </w:pPr>
      <w:r>
        <w:rPr>
          <w:rFonts w:hint="eastAsia"/>
          <w:color w:val="000000"/>
          <w:highlight w:val="none"/>
        </w:rPr>
        <w:t>传真：</w:t>
      </w:r>
      <w:r>
        <w:rPr>
          <w:color w:val="000000"/>
          <w:highlight w:val="none"/>
          <w:u w:val="single"/>
        </w:rPr>
        <w:t xml:space="preserve">                        </w:t>
      </w:r>
    </w:p>
    <w:p w14:paraId="7B3B9383">
      <w:pPr>
        <w:snapToGrid w:val="0"/>
        <w:spacing w:line="360" w:lineRule="auto"/>
        <w:ind w:firstLine="420" w:firstLineChars="200"/>
        <w:rPr>
          <w:color w:val="000000"/>
          <w:highlight w:val="none"/>
        </w:rPr>
      </w:pPr>
    </w:p>
    <w:p w14:paraId="53EDC507">
      <w:pPr>
        <w:snapToGrid w:val="0"/>
        <w:spacing w:line="360" w:lineRule="auto"/>
        <w:ind w:firstLine="420" w:firstLineChars="200"/>
        <w:rPr>
          <w:rFonts w:hint="eastAsia" w:ascii="宋体" w:hAnsi="宋体" w:eastAsia="宋体" w:cs="宋体"/>
          <w:color w:val="000000"/>
          <w:highlight w:val="none"/>
        </w:rPr>
      </w:pPr>
      <w:r>
        <w:rPr>
          <w:rFonts w:hint="eastAsia"/>
          <w:color w:val="000000"/>
          <w:highlight w:val="none"/>
        </w:rPr>
        <w:t>本合同甲方委托乙方就</w:t>
      </w:r>
      <w:r>
        <w:rPr>
          <w:rFonts w:hint="eastAsia"/>
          <w:bCs/>
          <w:color w:val="000000"/>
          <w:highlight w:val="none"/>
          <w:u w:val="single"/>
        </w:rPr>
        <w:t xml:space="preserve">                           </w:t>
      </w:r>
      <w:r>
        <w:rPr>
          <w:rFonts w:hint="eastAsia"/>
          <w:bCs/>
          <w:color w:val="000000"/>
          <w:highlight w:val="none"/>
        </w:rPr>
        <w:t>项目</w:t>
      </w:r>
      <w:r>
        <w:rPr>
          <w:rFonts w:hint="eastAsia"/>
          <w:color w:val="000000"/>
          <w:highlight w:val="none"/>
        </w:rPr>
        <w:t>的技术咨询，并支付咨询报酬。双方经平等协商，在真实、充分地表达各自意愿的基础上，根据《中华人民共和国</w:t>
      </w:r>
      <w:r>
        <w:rPr>
          <w:rFonts w:hint="eastAsia"/>
          <w:color w:val="000000"/>
          <w:highlight w:val="none"/>
          <w:lang w:val="en-US" w:eastAsia="zh-CN"/>
        </w:rPr>
        <w:t>民法典</w:t>
      </w:r>
      <w:r>
        <w:rPr>
          <w:rFonts w:hint="eastAsia"/>
          <w:color w:val="000000"/>
          <w:highlight w:val="none"/>
        </w:rPr>
        <w:t>》的规定，达成如下协</w:t>
      </w:r>
      <w:r>
        <w:rPr>
          <w:rFonts w:hint="eastAsia" w:ascii="宋体" w:hAnsi="宋体" w:eastAsia="宋体" w:cs="宋体"/>
          <w:color w:val="000000"/>
          <w:highlight w:val="none"/>
        </w:rPr>
        <w:t>议，并由双方共同恪守。</w:t>
      </w:r>
    </w:p>
    <w:p w14:paraId="77E59B7E">
      <w:pPr>
        <w:snapToGrid w:val="0"/>
        <w:spacing w:line="360" w:lineRule="auto"/>
        <w:ind w:firstLine="422" w:firstLineChars="200"/>
        <w:rPr>
          <w:rFonts w:hint="eastAsia" w:ascii="宋体" w:hAnsi="宋体" w:eastAsia="宋体" w:cs="宋体"/>
          <w:b/>
          <w:color w:val="000000"/>
          <w:highlight w:val="none"/>
        </w:rPr>
      </w:pPr>
      <w:r>
        <w:rPr>
          <w:rFonts w:hint="eastAsia" w:ascii="宋体" w:hAnsi="宋体" w:eastAsia="宋体" w:cs="宋体"/>
          <w:b/>
          <w:bCs/>
          <w:color w:val="000000"/>
          <w:highlight w:val="none"/>
        </w:rPr>
        <w:t>第一条</w:t>
      </w:r>
      <w:r>
        <w:rPr>
          <w:rFonts w:hint="eastAsia" w:ascii="宋体" w:hAnsi="宋体" w:eastAsia="宋体" w:cs="宋体"/>
          <w:b/>
          <w:color w:val="000000"/>
          <w:highlight w:val="none"/>
        </w:rPr>
        <w:t xml:space="preserve">  乙方进行技术咨询的要求、内容和方式</w:t>
      </w:r>
    </w:p>
    <w:p w14:paraId="3E94D8F1">
      <w:pPr>
        <w:snapToGrid w:val="0"/>
        <w:spacing w:line="360" w:lineRule="auto"/>
        <w:ind w:firstLine="420" w:firstLineChars="200"/>
        <w:rPr>
          <w:rFonts w:hint="eastAsia" w:ascii="宋体" w:hAnsi="宋体" w:eastAsia="宋体" w:cs="宋体"/>
          <w:color w:val="000000"/>
          <w:highlight w:val="none"/>
          <w:u w:val="single"/>
        </w:rPr>
      </w:pPr>
      <w:r>
        <w:rPr>
          <w:rFonts w:hint="eastAsia" w:ascii="宋体" w:hAnsi="宋体" w:eastAsia="宋体" w:cs="宋体"/>
          <w:color w:val="000000"/>
          <w:highlight w:val="none"/>
        </w:rPr>
        <w:t>1.咨询内容：525省道（328国道-沪陕高速）快速化改造方案研究项目</w:t>
      </w:r>
    </w:p>
    <w:p w14:paraId="72EACA4B">
      <w:pPr>
        <w:snapToGrid w:val="0"/>
        <w:spacing w:line="360" w:lineRule="auto"/>
        <w:ind w:firstLine="420" w:firstLineChars="200"/>
        <w:rPr>
          <w:rFonts w:hint="eastAsia" w:ascii="宋体" w:hAnsi="宋体" w:eastAsia="宋体" w:cs="宋体"/>
          <w:bCs/>
          <w:color w:val="000000"/>
          <w:highlight w:val="none"/>
          <w:u w:val="single"/>
        </w:rPr>
      </w:pPr>
      <w:r>
        <w:rPr>
          <w:rFonts w:hint="eastAsia" w:ascii="宋体" w:hAnsi="宋体" w:eastAsia="宋体" w:cs="宋体"/>
          <w:color w:val="000000"/>
          <w:highlight w:val="none"/>
          <w:u w:val="single"/>
        </w:rPr>
        <w:t>对525省道（328国道-沪陕高速）全线（约21公里）开展快速化改造方案研究并提供后续服务。主要研究内容：通过现场踏勘、调研，收集现状及规划资料，开展区域路网趋势分析和交通流量需求预测分析。结合沿线城镇规划、产业布局、土地开发及路网结构等因素，对快速化改造进行方案研究，对不同的方案从经济、技术、环境、用地等方面进行综合论证，提出推荐方案。针对本次改造，分析明确其功能定位、总体方案、建设规模、技术标准、投资估算等，结合路网规划研究，提出线位选址、规划设计方案、</w:t>
      </w:r>
      <w:r>
        <w:rPr>
          <w:rFonts w:hint="eastAsia" w:ascii="宋体" w:hAnsi="宋体" w:eastAsia="宋体" w:cs="宋体"/>
          <w:color w:val="000000"/>
          <w:highlight w:val="none"/>
          <w:u w:val="single"/>
          <w:lang w:val="en-US" w:eastAsia="zh-CN"/>
        </w:rPr>
        <w:t>建设模式、项目投融资、</w:t>
      </w:r>
      <w:r>
        <w:rPr>
          <w:rFonts w:hint="eastAsia" w:ascii="宋体" w:hAnsi="宋体" w:eastAsia="宋体" w:cs="宋体"/>
          <w:color w:val="000000"/>
          <w:highlight w:val="none"/>
          <w:u w:val="single"/>
        </w:rPr>
        <w:t>建设时机、建设时序等相关建议，</w:t>
      </w:r>
      <w:r>
        <w:rPr>
          <w:rFonts w:hint="eastAsia" w:ascii="宋体" w:hAnsi="宋体" w:cs="宋体"/>
          <w:color w:val="000000"/>
          <w:highlight w:val="none"/>
          <w:u w:val="single"/>
          <w:lang w:eastAsia="zh-CN"/>
        </w:rPr>
        <w:t>配合招标人完成市级审查及汇报工作</w:t>
      </w:r>
      <w:r>
        <w:rPr>
          <w:rFonts w:hint="eastAsia" w:ascii="宋体" w:hAnsi="宋体" w:eastAsia="宋体" w:cs="宋体"/>
          <w:color w:val="000000"/>
          <w:highlight w:val="none"/>
          <w:u w:val="single"/>
        </w:rPr>
        <w:t>，并提供</w:t>
      </w:r>
      <w:r>
        <w:rPr>
          <w:rFonts w:hint="eastAsia" w:ascii="宋体" w:hAnsi="宋体" w:eastAsia="宋体" w:cs="宋体"/>
          <w:color w:val="000000"/>
          <w:highlight w:val="none"/>
          <w:u w:val="single"/>
          <w:lang w:val="en-US" w:eastAsia="zh-CN"/>
        </w:rPr>
        <w:t>最终研究成果</w:t>
      </w:r>
      <w:r>
        <w:rPr>
          <w:rFonts w:hint="eastAsia" w:ascii="宋体" w:hAnsi="宋体" w:eastAsia="宋体" w:cs="宋体"/>
          <w:color w:val="000000"/>
          <w:highlight w:val="none"/>
          <w:u w:val="single"/>
        </w:rPr>
        <w:t>。</w:t>
      </w:r>
    </w:p>
    <w:p w14:paraId="167B3922">
      <w:pPr>
        <w:snapToGrid w:val="0"/>
        <w:spacing w:line="360" w:lineRule="auto"/>
        <w:ind w:firstLine="420" w:firstLineChars="200"/>
        <w:rPr>
          <w:rFonts w:hint="eastAsia" w:ascii="宋体" w:hAnsi="宋体" w:eastAsia="宋体" w:cs="宋体"/>
          <w:color w:val="000000"/>
          <w:highlight w:val="none"/>
          <w:u w:val="single"/>
        </w:rPr>
      </w:pPr>
      <w:r>
        <w:rPr>
          <w:rFonts w:hint="eastAsia" w:ascii="宋体" w:hAnsi="宋体" w:eastAsia="宋体" w:cs="宋体"/>
          <w:color w:val="000000"/>
          <w:highlight w:val="none"/>
        </w:rPr>
        <w:t>2.咨询要求与方式：</w:t>
      </w:r>
    </w:p>
    <w:p w14:paraId="006278E9">
      <w:pPr>
        <w:snapToGrid w:val="0"/>
        <w:spacing w:line="360" w:lineRule="auto"/>
        <w:ind w:firstLine="420" w:firstLineChars="200"/>
        <w:rPr>
          <w:rFonts w:hint="eastAsia" w:ascii="宋体" w:hAnsi="宋体" w:eastAsia="宋体" w:cs="宋体"/>
          <w:color w:val="000000"/>
          <w:highlight w:val="none"/>
        </w:rPr>
      </w:pPr>
      <w:r>
        <w:rPr>
          <w:rFonts w:hint="eastAsia" w:ascii="宋体" w:hAnsi="宋体" w:eastAsia="宋体" w:cs="宋体"/>
          <w:color w:val="000000"/>
          <w:highlight w:val="none"/>
        </w:rPr>
        <w:t>（1）所有成果文件必须满足相关规范要求，且成果须通过市级审查。</w:t>
      </w:r>
    </w:p>
    <w:p w14:paraId="13081D97">
      <w:pPr>
        <w:snapToGrid w:val="0"/>
        <w:spacing w:line="360" w:lineRule="auto"/>
        <w:ind w:firstLine="420" w:firstLineChars="200"/>
        <w:rPr>
          <w:color w:val="000000"/>
          <w:highlight w:val="none"/>
          <w:u w:val="single"/>
        </w:rPr>
      </w:pPr>
      <w:r>
        <w:rPr>
          <w:rFonts w:hint="eastAsia" w:ascii="宋体" w:hAnsi="宋体" w:eastAsia="宋体" w:cs="宋体"/>
          <w:color w:val="000000"/>
          <w:highlight w:val="none"/>
        </w:rPr>
        <w:t>（</w:t>
      </w:r>
      <w:r>
        <w:rPr>
          <w:rFonts w:hint="eastAsia" w:ascii="宋体" w:hAnsi="宋体" w:eastAsia="宋体" w:cs="宋体"/>
          <w:color w:val="000000"/>
          <w:highlight w:val="none"/>
          <w:lang w:val="en-US" w:eastAsia="zh-CN"/>
        </w:rPr>
        <w:t>2</w:t>
      </w:r>
      <w:r>
        <w:rPr>
          <w:rFonts w:hint="eastAsia" w:ascii="宋体" w:hAnsi="宋体" w:eastAsia="宋体" w:cs="宋体"/>
          <w:color w:val="000000"/>
          <w:highlight w:val="none"/>
        </w:rPr>
        <w:t>）乙方提</w:t>
      </w:r>
      <w:r>
        <w:rPr>
          <w:rFonts w:hint="eastAsia"/>
          <w:color w:val="000000"/>
          <w:highlight w:val="none"/>
        </w:rPr>
        <w:t>交的技术成果报告应数据准确、图表清晰，分析结果合理，逻辑严谨，论证出技术经济上科学合理的推荐方案，为工程决策和下阶段工程实施提供依据；</w:t>
      </w:r>
    </w:p>
    <w:p w14:paraId="04218D3E">
      <w:pPr>
        <w:spacing w:line="360" w:lineRule="auto"/>
        <w:ind w:firstLine="422" w:firstLineChars="200"/>
        <w:rPr>
          <w:rFonts w:hint="eastAsia" w:ascii="宋体" w:hAnsi="宋体" w:cs="宋体"/>
          <w:bCs/>
          <w:color w:val="000000"/>
          <w:highlight w:val="none"/>
        </w:rPr>
      </w:pPr>
      <w:r>
        <w:rPr>
          <w:rFonts w:hint="eastAsia" w:ascii="宋体" w:hAnsi="宋体" w:eastAsia="宋体" w:cs="宋体"/>
          <w:b/>
          <w:bCs/>
          <w:color w:val="000000"/>
          <w:highlight w:val="none"/>
        </w:rPr>
        <w:t>第二条</w:t>
      </w:r>
      <w:r>
        <w:rPr>
          <w:rFonts w:eastAsia="黑体"/>
          <w:color w:val="000000"/>
          <w:highlight w:val="none"/>
        </w:rPr>
        <w:t xml:space="preserve">  </w:t>
      </w:r>
      <w:r>
        <w:rPr>
          <w:rFonts w:hint="eastAsia"/>
          <w:color w:val="000000"/>
          <w:highlight w:val="none"/>
        </w:rPr>
        <w:t>乙方应当按照下列进度要求进行本项目的技术咨询工作：</w:t>
      </w:r>
      <w:r>
        <w:rPr>
          <w:rFonts w:hint="eastAsia" w:ascii="宋体" w:hAnsi="宋体" w:cs="宋体"/>
          <w:bCs/>
          <w:color w:val="000000"/>
          <w:highlight w:val="none"/>
        </w:rPr>
        <w:t>自合同签订之日起至最终成果通过市级审查且修改完善之日止。具体要求为：</w:t>
      </w:r>
    </w:p>
    <w:p w14:paraId="07EC9EBF">
      <w:pPr>
        <w:spacing w:line="360" w:lineRule="auto"/>
        <w:ind w:firstLine="420" w:firstLineChars="200"/>
        <w:rPr>
          <w:color w:val="000000"/>
          <w:highlight w:val="none"/>
          <w:u w:val="single"/>
        </w:rPr>
      </w:pPr>
      <w:r>
        <w:rPr>
          <w:rFonts w:hint="eastAsia" w:ascii="宋体" w:hAnsi="宋体" w:cs="宋体"/>
          <w:bCs/>
          <w:color w:val="000000"/>
          <w:highlight w:val="none"/>
        </w:rPr>
        <w:t>2025年6月30日前，完成方案研究大纲</w:t>
      </w:r>
      <w:r>
        <w:rPr>
          <w:rFonts w:hint="eastAsia" w:ascii="宋体" w:hAnsi="宋体" w:cs="宋体"/>
          <w:bCs/>
          <w:color w:val="000000"/>
          <w:highlight w:val="none"/>
          <w:lang w:val="en-US" w:eastAsia="zh-CN"/>
        </w:rPr>
        <w:t>评</w:t>
      </w:r>
      <w:r>
        <w:rPr>
          <w:rFonts w:hint="eastAsia" w:ascii="宋体" w:hAnsi="宋体" w:cs="宋体"/>
          <w:bCs/>
          <w:color w:val="000000"/>
          <w:highlight w:val="none"/>
        </w:rPr>
        <w:t>审；2025年9月30日前，形成方案研究中间成果；2025年11月30日前，完成方案研究报告，并通过市级审查。</w:t>
      </w:r>
    </w:p>
    <w:p w14:paraId="4CA3EACF">
      <w:pPr>
        <w:snapToGrid w:val="0"/>
        <w:spacing w:line="360" w:lineRule="auto"/>
        <w:ind w:firstLine="422" w:firstLineChars="200"/>
        <w:rPr>
          <w:color w:val="000000"/>
          <w:highlight w:val="none"/>
          <w:u w:val="single"/>
        </w:rPr>
      </w:pPr>
      <w:r>
        <w:rPr>
          <w:rFonts w:hint="eastAsia" w:ascii="宋体" w:hAnsi="宋体" w:eastAsia="宋体" w:cs="宋体"/>
          <w:b/>
          <w:bCs/>
          <w:color w:val="000000"/>
          <w:highlight w:val="none"/>
        </w:rPr>
        <w:t>第三条</w:t>
      </w:r>
      <w:r>
        <w:rPr>
          <w:rFonts w:eastAsia="黑体"/>
          <w:color w:val="000000"/>
          <w:highlight w:val="none"/>
        </w:rPr>
        <w:t xml:space="preserve">  </w:t>
      </w:r>
      <w:r>
        <w:rPr>
          <w:rFonts w:hint="eastAsia"/>
          <w:b/>
          <w:color w:val="000000"/>
          <w:highlight w:val="none"/>
        </w:rPr>
        <w:t>甲方向乙方支付技术咨询报酬及支付方式</w:t>
      </w:r>
    </w:p>
    <w:p w14:paraId="4A5D4296">
      <w:pPr>
        <w:snapToGrid w:val="0"/>
        <w:spacing w:line="360" w:lineRule="auto"/>
        <w:ind w:firstLine="411" w:firstLineChars="196"/>
        <w:rPr>
          <w:rFonts w:hint="eastAsia" w:ascii="宋体" w:hAnsi="宋体" w:eastAsia="宋体" w:cs="宋体"/>
          <w:highlight w:val="none"/>
        </w:rPr>
      </w:pPr>
      <w:r>
        <w:rPr>
          <w:rFonts w:hint="eastAsia" w:ascii="宋体" w:hAnsi="宋体" w:eastAsia="宋体" w:cs="宋体"/>
          <w:color w:val="000000"/>
          <w:highlight w:val="none"/>
        </w:rPr>
        <w:t>1.本项目费用（大写）</w:t>
      </w:r>
      <w:r>
        <w:rPr>
          <w:rFonts w:hint="eastAsia" w:ascii="宋体" w:hAnsi="宋体" w:eastAsia="宋体" w:cs="宋体"/>
          <w:color w:val="000000"/>
          <w:highlight w:val="none"/>
          <w:u w:val="single"/>
        </w:rPr>
        <w:t xml:space="preserve">     </w:t>
      </w:r>
      <w:r>
        <w:rPr>
          <w:rFonts w:hint="eastAsia" w:ascii="宋体" w:hAnsi="宋体" w:eastAsia="宋体" w:cs="宋体"/>
          <w:color w:val="000000"/>
          <w:highlight w:val="none"/>
        </w:rPr>
        <w:t>元整。</w:t>
      </w:r>
      <w:r>
        <w:rPr>
          <w:rFonts w:hint="eastAsia" w:ascii="宋体" w:hAnsi="宋体" w:eastAsia="宋体" w:cs="宋体"/>
          <w:bCs/>
          <w:color w:val="000000"/>
          <w:highlight w:val="none"/>
        </w:rPr>
        <w:t>该费用应包括是乙方完成所投</w:t>
      </w:r>
      <w:r>
        <w:rPr>
          <w:rFonts w:hint="eastAsia" w:ascii="宋体" w:hAnsi="宋体" w:cs="宋体"/>
          <w:bCs/>
          <w:color w:val="000000"/>
          <w:highlight w:val="none"/>
          <w:lang w:val="en-US" w:eastAsia="zh-CN"/>
        </w:rPr>
        <w:t>标段</w:t>
      </w:r>
      <w:r>
        <w:rPr>
          <w:rFonts w:hint="eastAsia" w:ascii="宋体" w:hAnsi="宋体" w:eastAsia="宋体" w:cs="宋体"/>
          <w:bCs/>
          <w:color w:val="000000"/>
          <w:highlight w:val="none"/>
        </w:rPr>
        <w:t>所有</w:t>
      </w:r>
      <w:r>
        <w:rPr>
          <w:rFonts w:hint="eastAsia" w:ascii="宋体" w:hAnsi="宋体" w:eastAsia="宋体" w:cs="宋体"/>
          <w:highlight w:val="none"/>
        </w:rPr>
        <w:t>工作内容和提供完整的工作报告（成果）</w:t>
      </w:r>
      <w:r>
        <w:rPr>
          <w:rFonts w:hint="eastAsia" w:ascii="宋体" w:hAnsi="宋体" w:eastAsia="宋体" w:cs="宋体"/>
          <w:bCs/>
          <w:color w:val="000000"/>
          <w:highlight w:val="none"/>
        </w:rPr>
        <w:t>及后续服务所需的</w:t>
      </w:r>
      <w:r>
        <w:rPr>
          <w:rFonts w:hint="eastAsia" w:ascii="宋体" w:hAnsi="宋体" w:eastAsia="宋体" w:cs="宋体"/>
          <w:highlight w:val="none"/>
        </w:rPr>
        <w:t>调查费、劳务费、咨询费、会务费（含专家评审费）、出版费、研究费、管理费、利润、税金等全部费用。</w:t>
      </w:r>
    </w:p>
    <w:p w14:paraId="33F07B23">
      <w:pPr>
        <w:snapToGrid w:val="0"/>
        <w:spacing w:line="360" w:lineRule="auto"/>
        <w:ind w:firstLine="411" w:firstLineChars="196"/>
        <w:rPr>
          <w:rFonts w:hint="eastAsia" w:ascii="宋体" w:hAnsi="宋体" w:eastAsia="宋体" w:cs="宋体"/>
          <w:color w:val="000000"/>
          <w:highlight w:val="none"/>
        </w:rPr>
      </w:pPr>
      <w:r>
        <w:rPr>
          <w:rFonts w:hint="eastAsia" w:ascii="宋体" w:hAnsi="宋体" w:eastAsia="宋体" w:cs="宋体"/>
          <w:highlight w:val="none"/>
        </w:rPr>
        <w:t>本项目为总价合同，合同协议书一经签订，除合同另有明确规定外，合同价一概不予调整。</w:t>
      </w:r>
    </w:p>
    <w:p w14:paraId="62BD9493">
      <w:pPr>
        <w:snapToGrid w:val="0"/>
        <w:spacing w:line="360" w:lineRule="auto"/>
        <w:ind w:firstLine="411" w:firstLineChars="196"/>
        <w:rPr>
          <w:rFonts w:hint="eastAsia" w:ascii="宋体" w:hAnsi="宋体" w:eastAsia="宋体" w:cs="宋体"/>
          <w:b/>
          <w:color w:val="000000"/>
          <w:szCs w:val="21"/>
          <w:highlight w:val="none"/>
          <w:lang w:val="zh-CN"/>
        </w:rPr>
      </w:pPr>
      <w:r>
        <w:rPr>
          <w:rFonts w:hint="eastAsia" w:ascii="宋体" w:hAnsi="宋体" w:eastAsia="宋体" w:cs="宋体"/>
          <w:color w:val="000000"/>
          <w:highlight w:val="none"/>
        </w:rPr>
        <w:t>2.支付方式：</w:t>
      </w:r>
      <w:r>
        <w:rPr>
          <w:rFonts w:hint="eastAsia" w:ascii="宋体" w:hAnsi="宋体" w:eastAsia="宋体" w:cs="宋体"/>
          <w:b/>
          <w:color w:val="000000"/>
          <w:szCs w:val="21"/>
          <w:highlight w:val="none"/>
          <w:lang w:val="zh-CN"/>
        </w:rPr>
        <w:t>本项目为总价合同，通过招标人组织的方案研究大纲评审后15个工作日内，支付合同价的30%；通过招标人组织的中间成果评审后15个工作日内，支付合同价的30%；</w:t>
      </w:r>
      <w:r>
        <w:rPr>
          <w:rFonts w:hint="eastAsia" w:ascii="宋体" w:hAnsi="宋体" w:cs="宋体"/>
          <w:b/>
          <w:color w:val="000000"/>
          <w:szCs w:val="21"/>
          <w:highlight w:val="none"/>
          <w:lang w:val="zh-CN"/>
        </w:rPr>
        <w:t>完成最终成果并通过市级审查后15个工作日内</w:t>
      </w:r>
      <w:r>
        <w:rPr>
          <w:rFonts w:hint="eastAsia" w:ascii="宋体" w:hAnsi="宋体" w:eastAsia="宋体" w:cs="宋体"/>
          <w:b/>
          <w:color w:val="000000"/>
          <w:szCs w:val="21"/>
          <w:highlight w:val="none"/>
          <w:lang w:val="zh-CN"/>
        </w:rPr>
        <w:t>，支付合同价的40%。</w:t>
      </w:r>
    </w:p>
    <w:p w14:paraId="43955CF6">
      <w:pPr>
        <w:snapToGrid w:val="0"/>
        <w:spacing w:line="360" w:lineRule="auto"/>
        <w:ind w:firstLine="413" w:firstLineChars="196"/>
        <w:rPr>
          <w:color w:val="000000"/>
          <w:szCs w:val="21"/>
          <w:highlight w:val="none"/>
        </w:rPr>
      </w:pPr>
      <w:r>
        <w:rPr>
          <w:rFonts w:hint="eastAsia" w:ascii="宋体" w:hAnsi="宋体" w:eastAsia="宋体" w:cs="宋体"/>
          <w:b/>
          <w:color w:val="000000"/>
          <w:szCs w:val="21"/>
          <w:highlight w:val="none"/>
          <w:lang w:val="zh-CN"/>
        </w:rPr>
        <w:t>每次付款前，受托人须按委托人要求提供等额的合规发票及相关付款申请资料，否则委托人可以拒绝付款。依据合同条款约定对受托人的违约金和赔偿金扣款，委托人从当年应付年度合同价中一次性扣减。以上付款均不计利息。</w:t>
      </w:r>
    </w:p>
    <w:p w14:paraId="0D94EF04">
      <w:pPr>
        <w:pStyle w:val="23"/>
        <w:snapToGrid w:val="0"/>
        <w:spacing w:line="360" w:lineRule="auto"/>
        <w:ind w:firstLine="622" w:firstLineChars="295"/>
        <w:rPr>
          <w:rFonts w:ascii="Times New Roman" w:hAnsi="Times New Roman"/>
          <w:color w:val="000000"/>
          <w:szCs w:val="24"/>
          <w:highlight w:val="none"/>
        </w:rPr>
      </w:pPr>
      <w:r>
        <w:rPr>
          <w:rFonts w:hint="eastAsia" w:ascii="宋体" w:hAnsi="宋体" w:eastAsia="宋体" w:cs="宋体"/>
          <w:b/>
          <w:bCs/>
          <w:color w:val="000000"/>
          <w:szCs w:val="24"/>
          <w:highlight w:val="none"/>
        </w:rPr>
        <w:t>第四条</w:t>
      </w:r>
      <w:r>
        <w:rPr>
          <w:rFonts w:ascii="Times New Roman" w:hAnsi="Times New Roman" w:eastAsia="黑体"/>
          <w:color w:val="000000"/>
          <w:szCs w:val="24"/>
          <w:highlight w:val="none"/>
        </w:rPr>
        <w:t xml:space="preserve">  </w:t>
      </w:r>
      <w:r>
        <w:rPr>
          <w:rFonts w:hint="eastAsia" w:ascii="Times New Roman" w:hAnsi="Times New Roman"/>
          <w:b/>
          <w:color w:val="000000"/>
          <w:szCs w:val="24"/>
          <w:highlight w:val="none"/>
        </w:rPr>
        <w:t>双方责任</w:t>
      </w:r>
    </w:p>
    <w:p w14:paraId="40503B92">
      <w:pPr>
        <w:pStyle w:val="23"/>
        <w:snapToGrid w:val="0"/>
        <w:spacing w:line="360" w:lineRule="auto"/>
        <w:ind w:firstLine="420" w:firstLineChars="200"/>
        <w:rPr>
          <w:rFonts w:hint="eastAsia" w:ascii="宋体" w:hAnsi="宋体" w:eastAsia="宋体" w:cs="宋体"/>
          <w:color w:val="000000"/>
          <w:szCs w:val="24"/>
          <w:highlight w:val="none"/>
        </w:rPr>
      </w:pPr>
      <w:r>
        <w:rPr>
          <w:rFonts w:hint="eastAsia" w:ascii="宋体" w:hAnsi="宋体" w:eastAsia="宋体" w:cs="宋体"/>
          <w:color w:val="000000"/>
          <w:szCs w:val="24"/>
          <w:highlight w:val="none"/>
        </w:rPr>
        <w:t>1.甲方责任主要包括但不限于以下方面：</w:t>
      </w:r>
    </w:p>
    <w:p w14:paraId="7D6E6F1B">
      <w:pPr>
        <w:pStyle w:val="23"/>
        <w:snapToGrid w:val="0"/>
        <w:spacing w:line="360" w:lineRule="auto"/>
        <w:ind w:firstLine="420" w:firstLineChars="200"/>
        <w:rPr>
          <w:rFonts w:hint="eastAsia" w:ascii="宋体" w:hAnsi="宋体" w:eastAsia="宋体" w:cs="宋体"/>
          <w:color w:val="000000"/>
          <w:szCs w:val="24"/>
          <w:highlight w:val="none"/>
        </w:rPr>
      </w:pPr>
      <w:r>
        <w:rPr>
          <w:rFonts w:hint="eastAsia" w:ascii="宋体" w:hAnsi="宋体" w:eastAsia="宋体" w:cs="宋体"/>
          <w:color w:val="000000"/>
          <w:szCs w:val="24"/>
          <w:highlight w:val="none"/>
        </w:rPr>
        <w:t>（1）协助乙方开展现场调查和资料收集；</w:t>
      </w:r>
    </w:p>
    <w:p w14:paraId="10001911">
      <w:pPr>
        <w:pStyle w:val="23"/>
        <w:snapToGrid w:val="0"/>
        <w:spacing w:line="360" w:lineRule="auto"/>
        <w:ind w:firstLine="420" w:firstLineChars="200"/>
        <w:rPr>
          <w:rFonts w:hint="eastAsia" w:ascii="宋体" w:hAnsi="宋体" w:eastAsia="宋体" w:cs="宋体"/>
          <w:color w:val="000000"/>
          <w:szCs w:val="24"/>
          <w:highlight w:val="none"/>
        </w:rPr>
      </w:pPr>
      <w:r>
        <w:rPr>
          <w:rFonts w:hint="eastAsia" w:ascii="宋体" w:hAnsi="宋体" w:eastAsia="宋体" w:cs="宋体"/>
          <w:color w:val="000000"/>
          <w:szCs w:val="24"/>
          <w:highlight w:val="none"/>
        </w:rPr>
        <w:t>（2）组织审查、验收乙方提交的技术成果；</w:t>
      </w:r>
    </w:p>
    <w:p w14:paraId="7D0563A2">
      <w:pPr>
        <w:pStyle w:val="23"/>
        <w:snapToGrid w:val="0"/>
        <w:spacing w:line="360" w:lineRule="auto"/>
        <w:ind w:firstLine="420" w:firstLineChars="200"/>
        <w:rPr>
          <w:rFonts w:hint="eastAsia" w:ascii="宋体" w:hAnsi="宋体" w:eastAsia="宋体" w:cs="宋体"/>
          <w:color w:val="000000"/>
          <w:szCs w:val="24"/>
          <w:highlight w:val="none"/>
          <w:lang w:eastAsia="zh-CN"/>
        </w:rPr>
      </w:pPr>
      <w:r>
        <w:rPr>
          <w:rFonts w:hint="eastAsia" w:ascii="宋体" w:hAnsi="宋体" w:eastAsia="宋体" w:cs="宋体"/>
          <w:color w:val="000000"/>
          <w:szCs w:val="24"/>
          <w:highlight w:val="none"/>
        </w:rPr>
        <w:t>（3）按照合同要求及时向乙方支付合同款</w:t>
      </w:r>
      <w:r>
        <w:rPr>
          <w:rFonts w:hint="eastAsia" w:ascii="宋体" w:hAnsi="宋体" w:eastAsia="宋体" w:cs="宋体"/>
          <w:color w:val="000000"/>
          <w:szCs w:val="24"/>
          <w:highlight w:val="none"/>
          <w:lang w:eastAsia="zh-CN"/>
        </w:rPr>
        <w:t>；</w:t>
      </w:r>
    </w:p>
    <w:p w14:paraId="088233E6">
      <w:pPr>
        <w:pStyle w:val="23"/>
        <w:snapToGrid w:val="0"/>
        <w:spacing w:line="360" w:lineRule="auto"/>
        <w:ind w:firstLine="420" w:firstLineChars="200"/>
        <w:rPr>
          <w:rFonts w:hint="eastAsia" w:ascii="宋体" w:hAnsi="宋体" w:eastAsia="宋体" w:cs="宋体"/>
          <w:color w:val="000000"/>
          <w:szCs w:val="24"/>
          <w:highlight w:val="none"/>
        </w:rPr>
      </w:pPr>
      <w:r>
        <w:rPr>
          <w:rFonts w:hint="eastAsia" w:ascii="宋体" w:hAnsi="宋体" w:eastAsia="宋体" w:cs="宋体"/>
          <w:color w:val="000000"/>
          <w:szCs w:val="24"/>
          <w:highlight w:val="none"/>
        </w:rPr>
        <w:t>（4）负责与地方及有关部门之间关系的协调工作。</w:t>
      </w:r>
    </w:p>
    <w:p w14:paraId="710CEC1A">
      <w:pPr>
        <w:pStyle w:val="23"/>
        <w:snapToGrid w:val="0"/>
        <w:spacing w:line="360" w:lineRule="auto"/>
        <w:ind w:firstLine="420" w:firstLineChars="200"/>
        <w:rPr>
          <w:rFonts w:hint="eastAsia" w:ascii="宋体" w:hAnsi="宋体" w:eastAsia="宋体" w:cs="宋体"/>
          <w:color w:val="000000"/>
          <w:szCs w:val="24"/>
          <w:highlight w:val="none"/>
        </w:rPr>
      </w:pPr>
      <w:r>
        <w:rPr>
          <w:rFonts w:hint="eastAsia" w:ascii="宋体" w:hAnsi="宋体" w:eastAsia="宋体" w:cs="宋体"/>
          <w:color w:val="000000"/>
          <w:szCs w:val="24"/>
          <w:highlight w:val="none"/>
        </w:rPr>
        <w:t>2.乙方责任主要包括但不限于以下方面：</w:t>
      </w:r>
    </w:p>
    <w:p w14:paraId="29BD60D3">
      <w:pPr>
        <w:pStyle w:val="23"/>
        <w:snapToGrid w:val="0"/>
        <w:spacing w:line="360" w:lineRule="auto"/>
        <w:ind w:firstLine="420" w:firstLineChars="200"/>
        <w:rPr>
          <w:rFonts w:hint="eastAsia" w:ascii="宋体" w:hAnsi="宋体" w:eastAsia="宋体" w:cs="宋体"/>
          <w:color w:val="000000"/>
          <w:szCs w:val="24"/>
          <w:highlight w:val="none"/>
        </w:rPr>
      </w:pPr>
      <w:r>
        <w:rPr>
          <w:rFonts w:hint="eastAsia" w:ascii="宋体" w:hAnsi="宋体" w:eastAsia="宋体" w:cs="宋体"/>
          <w:color w:val="000000"/>
          <w:szCs w:val="24"/>
          <w:highlight w:val="none"/>
        </w:rPr>
        <w:t>（1）乙方应按承诺的日期完成</w:t>
      </w:r>
      <w:r>
        <w:rPr>
          <w:rFonts w:hint="eastAsia" w:ascii="宋体" w:hAnsi="宋体" w:eastAsia="宋体" w:cs="宋体"/>
          <w:bCs/>
          <w:color w:val="000000"/>
          <w:highlight w:val="none"/>
        </w:rPr>
        <w:t>方案研究大纲</w:t>
      </w:r>
      <w:r>
        <w:rPr>
          <w:rFonts w:hint="eastAsia" w:ascii="宋体" w:hAnsi="宋体" w:eastAsia="宋体" w:cs="宋体"/>
          <w:bCs/>
          <w:color w:val="000000"/>
          <w:highlight w:val="none"/>
          <w:lang w:val="en-US" w:eastAsia="zh-CN"/>
        </w:rPr>
        <w:t>评</w:t>
      </w:r>
      <w:r>
        <w:rPr>
          <w:rFonts w:hint="eastAsia" w:ascii="宋体" w:hAnsi="宋体" w:eastAsia="宋体" w:cs="宋体"/>
          <w:bCs/>
          <w:color w:val="000000"/>
          <w:highlight w:val="none"/>
        </w:rPr>
        <w:t>审</w:t>
      </w:r>
      <w:r>
        <w:rPr>
          <w:rFonts w:hint="eastAsia" w:ascii="宋体" w:hAnsi="宋体" w:eastAsia="宋体" w:cs="宋体"/>
          <w:bCs/>
          <w:color w:val="000000"/>
          <w:highlight w:val="none"/>
          <w:lang w:eastAsia="zh-CN"/>
        </w:rPr>
        <w:t>、</w:t>
      </w:r>
      <w:r>
        <w:rPr>
          <w:rFonts w:hint="eastAsia" w:ascii="宋体" w:hAnsi="宋体" w:eastAsia="宋体" w:cs="宋体"/>
          <w:bCs/>
          <w:color w:val="000000"/>
          <w:highlight w:val="none"/>
        </w:rPr>
        <w:t>方案研究中间成果</w:t>
      </w:r>
      <w:r>
        <w:rPr>
          <w:rFonts w:hint="eastAsia" w:ascii="宋体" w:hAnsi="宋体" w:eastAsia="宋体" w:cs="宋体"/>
          <w:bCs/>
          <w:color w:val="000000"/>
          <w:highlight w:val="none"/>
          <w:lang w:val="en-US" w:eastAsia="zh-CN"/>
        </w:rPr>
        <w:t>编制</w:t>
      </w:r>
      <w:r>
        <w:rPr>
          <w:rFonts w:hint="eastAsia" w:ascii="宋体" w:hAnsi="宋体" w:eastAsia="宋体" w:cs="宋体"/>
          <w:bCs/>
          <w:color w:val="000000"/>
          <w:highlight w:val="none"/>
          <w:lang w:eastAsia="zh-CN"/>
        </w:rPr>
        <w:t>、</w:t>
      </w:r>
      <w:r>
        <w:rPr>
          <w:rFonts w:hint="eastAsia" w:ascii="宋体" w:hAnsi="宋体" w:eastAsia="宋体" w:cs="宋体"/>
          <w:bCs/>
          <w:color w:val="000000"/>
          <w:highlight w:val="none"/>
        </w:rPr>
        <w:t>方案研究报告</w:t>
      </w:r>
      <w:r>
        <w:rPr>
          <w:rFonts w:hint="eastAsia" w:ascii="宋体" w:hAnsi="宋体" w:eastAsia="宋体" w:cs="宋体"/>
          <w:bCs/>
          <w:color w:val="000000"/>
          <w:highlight w:val="none"/>
          <w:lang w:val="en-US" w:eastAsia="zh-CN"/>
        </w:rPr>
        <w:t>编制</w:t>
      </w:r>
      <w:r>
        <w:rPr>
          <w:rFonts w:hint="eastAsia" w:ascii="宋体" w:hAnsi="宋体" w:eastAsia="宋体" w:cs="宋体"/>
          <w:color w:val="000000"/>
          <w:szCs w:val="24"/>
          <w:highlight w:val="none"/>
        </w:rPr>
        <w:t>并</w:t>
      </w:r>
      <w:r>
        <w:rPr>
          <w:rFonts w:hint="eastAsia" w:ascii="宋体" w:hAnsi="宋体" w:eastAsia="宋体" w:cs="宋体"/>
          <w:bCs/>
          <w:color w:val="000000"/>
          <w:highlight w:val="none"/>
        </w:rPr>
        <w:t>通过市级审查</w:t>
      </w:r>
      <w:r>
        <w:rPr>
          <w:rFonts w:hint="eastAsia" w:ascii="宋体" w:hAnsi="宋体" w:eastAsia="宋体" w:cs="宋体"/>
          <w:bCs/>
          <w:color w:val="000000"/>
          <w:highlight w:val="none"/>
          <w:lang w:eastAsia="zh-CN"/>
        </w:rPr>
        <w:t>，</w:t>
      </w:r>
      <w:r>
        <w:rPr>
          <w:rFonts w:hint="eastAsia" w:ascii="宋体" w:hAnsi="宋体" w:eastAsia="宋体" w:cs="宋体"/>
          <w:color w:val="000000"/>
          <w:szCs w:val="24"/>
          <w:highlight w:val="none"/>
        </w:rPr>
        <w:t>提供最终审查通过的全部最终成果。乙方对以上文件进行审定并对其质量负责。乙方向甲方交付的文件、份数、时间为：</w:t>
      </w:r>
    </w:p>
    <w:p w14:paraId="29E71917">
      <w:pPr>
        <w:snapToGrid w:val="0"/>
        <w:spacing w:line="360" w:lineRule="auto"/>
        <w:ind w:firstLine="420" w:firstLineChars="200"/>
        <w:rPr>
          <w:rFonts w:hint="eastAsia" w:ascii="宋体" w:hAnsi="宋体" w:eastAsia="宋体" w:cs="宋体"/>
          <w:color w:val="000000"/>
          <w:highlight w:val="none"/>
        </w:rPr>
      </w:pPr>
      <w:r>
        <w:rPr>
          <w:rFonts w:hint="eastAsia" w:ascii="宋体" w:hAnsi="宋体" w:eastAsia="宋体" w:cs="宋体"/>
          <w:color w:val="000000"/>
          <w:highlight w:val="none"/>
        </w:rPr>
        <w:t>1）中间成果报告数量应满足审查需要。</w:t>
      </w:r>
    </w:p>
    <w:p w14:paraId="6223BEF1">
      <w:pPr>
        <w:snapToGrid w:val="0"/>
        <w:spacing w:line="360" w:lineRule="auto"/>
        <w:ind w:firstLine="420" w:firstLineChars="200"/>
        <w:rPr>
          <w:rFonts w:hint="eastAsia" w:ascii="宋体" w:hAnsi="宋体" w:eastAsia="宋体" w:cs="宋体"/>
          <w:color w:val="000000"/>
          <w:highlight w:val="none"/>
          <w:u w:val="single"/>
          <w:lang w:eastAsia="zh-CN"/>
        </w:rPr>
      </w:pPr>
      <w:r>
        <w:rPr>
          <w:rFonts w:hint="eastAsia" w:ascii="宋体" w:hAnsi="宋体" w:eastAsia="宋体" w:cs="宋体"/>
          <w:color w:val="000000"/>
          <w:highlight w:val="none"/>
        </w:rPr>
        <w:t>2）编制《525省道（328国道-沪陕高速）快速化改造方案研究报告》及附表、附图、附件，提供报告文件纸质版8套。</w:t>
      </w:r>
    </w:p>
    <w:p w14:paraId="6FC50FEE">
      <w:pPr>
        <w:snapToGrid w:val="0"/>
        <w:spacing w:line="360" w:lineRule="auto"/>
        <w:ind w:firstLine="420" w:firstLineChars="200"/>
        <w:rPr>
          <w:rFonts w:hint="eastAsia" w:ascii="宋体" w:hAnsi="宋体" w:eastAsia="宋体" w:cs="宋体"/>
          <w:color w:val="000000"/>
          <w:highlight w:val="none"/>
          <w:u w:val="single"/>
        </w:rPr>
      </w:pPr>
      <w:r>
        <w:rPr>
          <w:rFonts w:hint="eastAsia" w:ascii="宋体" w:hAnsi="宋体" w:eastAsia="宋体" w:cs="宋体"/>
          <w:color w:val="000000"/>
          <w:highlight w:val="none"/>
        </w:rPr>
        <w:t>3）所有研究成果的电子版一份（图纸要求为无加密的CAD格式）。</w:t>
      </w:r>
    </w:p>
    <w:p w14:paraId="643953E7">
      <w:pPr>
        <w:pStyle w:val="23"/>
        <w:snapToGrid w:val="0"/>
        <w:spacing w:line="360" w:lineRule="auto"/>
        <w:ind w:firstLine="420" w:firstLineChars="200"/>
        <w:rPr>
          <w:rFonts w:hint="eastAsia" w:ascii="宋体" w:hAnsi="宋体" w:eastAsia="宋体" w:cs="宋体"/>
          <w:color w:val="000000"/>
          <w:szCs w:val="24"/>
          <w:highlight w:val="none"/>
        </w:rPr>
      </w:pPr>
      <w:r>
        <w:rPr>
          <w:rFonts w:hint="eastAsia" w:ascii="宋体" w:hAnsi="宋体" w:eastAsia="宋体" w:cs="宋体"/>
          <w:color w:val="000000"/>
          <w:szCs w:val="24"/>
          <w:highlight w:val="none"/>
        </w:rPr>
        <w:t>（2）投标文件中所确定的项目组织机构和项目人员配置在未征得甲方同意或未经甲方要求不作任何变更和调整。</w:t>
      </w:r>
    </w:p>
    <w:p w14:paraId="07E6EC3A">
      <w:pPr>
        <w:pStyle w:val="23"/>
        <w:snapToGrid w:val="0"/>
        <w:spacing w:line="360" w:lineRule="auto"/>
        <w:ind w:firstLine="420" w:firstLineChars="200"/>
        <w:rPr>
          <w:rFonts w:hint="eastAsia" w:ascii="宋体" w:hAnsi="宋体" w:eastAsia="宋体" w:cs="宋体"/>
          <w:color w:val="000000"/>
          <w:szCs w:val="24"/>
          <w:highlight w:val="none"/>
        </w:rPr>
      </w:pPr>
      <w:r>
        <w:rPr>
          <w:rFonts w:hint="eastAsia" w:ascii="宋体" w:hAnsi="宋体" w:eastAsia="宋体" w:cs="宋体"/>
          <w:color w:val="000000"/>
          <w:szCs w:val="24"/>
          <w:highlight w:val="none"/>
        </w:rPr>
        <w:t>（3）研究报告（或评估报告）提交后，在原定的任务范围内的必要修改由乙方负责，若原定任务委托书有重大变更而重作或修改设计时，甲乙双方应协商另定合同。</w:t>
      </w:r>
    </w:p>
    <w:p w14:paraId="2C529900">
      <w:pPr>
        <w:pStyle w:val="23"/>
        <w:snapToGrid w:val="0"/>
        <w:spacing w:line="360" w:lineRule="auto"/>
        <w:ind w:firstLine="420" w:firstLineChars="200"/>
        <w:rPr>
          <w:rFonts w:hint="eastAsia" w:ascii="宋体" w:hAnsi="宋体" w:eastAsia="宋体" w:cs="宋体"/>
          <w:color w:val="000000"/>
          <w:szCs w:val="24"/>
          <w:highlight w:val="none"/>
        </w:rPr>
      </w:pPr>
      <w:r>
        <w:rPr>
          <w:rFonts w:hint="eastAsia" w:ascii="宋体" w:hAnsi="宋体" w:eastAsia="宋体" w:cs="宋体"/>
          <w:color w:val="000000"/>
          <w:szCs w:val="24"/>
          <w:highlight w:val="none"/>
        </w:rPr>
        <w:t>（4）合同生效后，乙方要求终止或解除合同，乙方须向甲方缴纳5万元违约金。</w:t>
      </w:r>
    </w:p>
    <w:p w14:paraId="6389DBE0">
      <w:pPr>
        <w:pStyle w:val="23"/>
        <w:snapToGrid w:val="0"/>
        <w:spacing w:line="360" w:lineRule="auto"/>
        <w:ind w:firstLine="420" w:firstLineChars="200"/>
        <w:rPr>
          <w:rFonts w:ascii="Times New Roman" w:hAnsi="Times New Roman"/>
          <w:color w:val="000000"/>
          <w:szCs w:val="24"/>
          <w:highlight w:val="none"/>
        </w:rPr>
      </w:pPr>
      <w:r>
        <w:rPr>
          <w:rFonts w:hint="eastAsia" w:ascii="宋体" w:hAnsi="宋体" w:eastAsia="宋体" w:cs="宋体"/>
          <w:color w:val="000000"/>
          <w:szCs w:val="24"/>
          <w:highlight w:val="none"/>
        </w:rPr>
        <w:t>（5）承担项目实施过程中的技术评审、专家咨询、会务等相关一切费用。</w:t>
      </w:r>
    </w:p>
    <w:p w14:paraId="279C551B">
      <w:pPr>
        <w:pStyle w:val="23"/>
        <w:snapToGrid w:val="0"/>
        <w:spacing w:line="360" w:lineRule="auto"/>
        <w:ind w:firstLine="422" w:firstLineChars="200"/>
        <w:rPr>
          <w:rFonts w:ascii="Times New Roman" w:hAnsi="Times New Roman"/>
          <w:b/>
          <w:color w:val="000000"/>
          <w:szCs w:val="24"/>
          <w:highlight w:val="none"/>
        </w:rPr>
      </w:pPr>
      <w:r>
        <w:rPr>
          <w:rFonts w:hint="eastAsia" w:ascii="宋体" w:hAnsi="宋体" w:eastAsia="宋体" w:cs="宋体"/>
          <w:b/>
          <w:bCs/>
          <w:color w:val="000000"/>
          <w:szCs w:val="24"/>
          <w:highlight w:val="none"/>
        </w:rPr>
        <w:t>第五条</w:t>
      </w:r>
      <w:r>
        <w:rPr>
          <w:rFonts w:hint="eastAsia" w:ascii="宋体" w:hAnsi="宋体" w:eastAsia="宋体" w:cs="宋体"/>
          <w:b/>
          <w:bCs/>
          <w:color w:val="000000"/>
          <w:szCs w:val="24"/>
          <w:highlight w:val="none"/>
          <w:lang w:val="en-US" w:eastAsia="zh-CN"/>
        </w:rPr>
        <w:t xml:space="preserve"> </w:t>
      </w:r>
      <w:r>
        <w:rPr>
          <w:rFonts w:ascii="Times New Roman" w:hAnsi="Times New Roman"/>
          <w:color w:val="000000"/>
          <w:szCs w:val="24"/>
          <w:highlight w:val="none"/>
        </w:rPr>
        <w:t xml:space="preserve"> </w:t>
      </w:r>
      <w:r>
        <w:rPr>
          <w:rFonts w:hint="eastAsia" w:ascii="Times New Roman" w:hAnsi="Times New Roman"/>
          <w:b/>
          <w:color w:val="000000"/>
          <w:szCs w:val="24"/>
          <w:highlight w:val="none"/>
        </w:rPr>
        <w:t>合同的变更、解除及终止</w:t>
      </w:r>
    </w:p>
    <w:p w14:paraId="512C59B8">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1.除甲方另有书面通知外，乙方不得改变本合同中的任何任务。甲方有权利在执行合同期间改变、修改、删减或增加合同任务。由于变更引起的费用，经双方协商解决。含在投标报价中，不单独计列</w:t>
      </w:r>
    </w:p>
    <w:p w14:paraId="2F3A8B48">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2.甲方发出的变更通知单是修改合同价格或改变完工日期的唯一方法。</w:t>
      </w:r>
    </w:p>
    <w:p w14:paraId="4CC0F68F">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3.在合同执行过程中，因国家政策或者项目调整等因素，经甲乙双方协商后，甲方可提出书面文件中止合同，但甲方应补偿乙方在合同中止期间的损失。</w:t>
      </w:r>
    </w:p>
    <w:p w14:paraId="4922CA2E">
      <w:pPr>
        <w:pStyle w:val="23"/>
        <w:snapToGrid w:val="0"/>
        <w:spacing w:line="360" w:lineRule="auto"/>
        <w:ind w:firstLine="420" w:firstLineChars="200"/>
        <w:rPr>
          <w:rFonts w:ascii="Times New Roman" w:hAnsi="Times New Roman"/>
          <w:bCs/>
          <w:color w:val="000000"/>
          <w:szCs w:val="24"/>
          <w:highlight w:val="none"/>
        </w:rPr>
      </w:pPr>
      <w:r>
        <w:rPr>
          <w:rFonts w:hint="eastAsia" w:ascii="宋体" w:hAnsi="宋体" w:eastAsia="宋体" w:cs="宋体"/>
          <w:bCs/>
          <w:color w:val="000000"/>
          <w:szCs w:val="24"/>
          <w:highlight w:val="none"/>
        </w:rPr>
        <w:t>4.如果因甲方原因如破产、无力偿还或清盘等而使本合同工作无法继续执行时，乙方有权终止执行本合同。甲方应补偿乙方至终止日之前已经完成合格工作的费用。</w:t>
      </w:r>
    </w:p>
    <w:p w14:paraId="1F52D9AA">
      <w:pPr>
        <w:pStyle w:val="23"/>
        <w:snapToGrid w:val="0"/>
        <w:spacing w:line="360" w:lineRule="auto"/>
        <w:ind w:firstLine="422" w:firstLineChars="200"/>
        <w:rPr>
          <w:rFonts w:ascii="Times New Roman" w:hAnsi="Times New Roman"/>
          <w:b/>
          <w:color w:val="000000"/>
          <w:szCs w:val="24"/>
          <w:highlight w:val="none"/>
        </w:rPr>
      </w:pPr>
      <w:r>
        <w:rPr>
          <w:rFonts w:hint="eastAsia" w:ascii="宋体" w:hAnsi="宋体" w:eastAsia="宋体" w:cs="宋体"/>
          <w:b/>
          <w:bCs/>
          <w:color w:val="000000"/>
          <w:szCs w:val="24"/>
          <w:highlight w:val="none"/>
        </w:rPr>
        <w:t>第六条</w:t>
      </w:r>
      <w:r>
        <w:rPr>
          <w:rFonts w:ascii="Times New Roman" w:hAnsi="Times New Roman" w:eastAsia="黑体"/>
          <w:color w:val="000000"/>
          <w:szCs w:val="24"/>
          <w:highlight w:val="none"/>
        </w:rPr>
        <w:t xml:space="preserve"> </w:t>
      </w:r>
      <w:r>
        <w:rPr>
          <w:rFonts w:hint="eastAsia" w:ascii="Times New Roman" w:hAnsi="Times New Roman" w:eastAsia="黑体"/>
          <w:color w:val="000000"/>
          <w:szCs w:val="24"/>
          <w:highlight w:val="none"/>
          <w:lang w:val="en-US" w:eastAsia="zh-CN"/>
        </w:rPr>
        <w:t xml:space="preserve"> </w:t>
      </w:r>
      <w:r>
        <w:rPr>
          <w:rFonts w:hint="eastAsia" w:ascii="Times New Roman" w:hAnsi="Times New Roman"/>
          <w:b/>
          <w:color w:val="000000"/>
          <w:szCs w:val="24"/>
          <w:highlight w:val="none"/>
        </w:rPr>
        <w:t>版权与保密</w:t>
      </w:r>
    </w:p>
    <w:p w14:paraId="795E9DEF">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1.甲方向乙方提供的有关本合同项目的资料所有权属甲方所有。</w:t>
      </w:r>
    </w:p>
    <w:p w14:paraId="18C95DA7">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2.对于乙方按合同规定提交给甲方的所有资料及其副本，甲方在本合同</w:t>
      </w:r>
      <w:r>
        <w:rPr>
          <w:rFonts w:hint="eastAsia" w:ascii="宋体" w:hAnsi="宋体" w:eastAsia="宋体" w:cs="宋体"/>
          <w:color w:val="000000"/>
          <w:szCs w:val="24"/>
          <w:highlight w:val="none"/>
        </w:rPr>
        <w:t>项目</w:t>
      </w:r>
      <w:r>
        <w:rPr>
          <w:rFonts w:hint="eastAsia" w:ascii="宋体" w:hAnsi="宋体" w:eastAsia="宋体" w:cs="宋体"/>
          <w:bCs/>
          <w:color w:val="000000"/>
          <w:szCs w:val="24"/>
          <w:highlight w:val="none"/>
        </w:rPr>
        <w:t>上具有自由使用的权利，但要遵循后文中有关保密的规定及合同的其他规定，以利于本项目工程的开展。</w:t>
      </w:r>
    </w:p>
    <w:p w14:paraId="742BAD9A">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3.本合同失效或者终止后，甲方有权继续使用上述文件资料。</w:t>
      </w:r>
    </w:p>
    <w:p w14:paraId="6A852DD0">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4.未经任何一方允许，甲方和乙方不得全部或部分地公开或泄露上述规定的任何资料。</w:t>
      </w:r>
    </w:p>
    <w:p w14:paraId="58DFE1F5">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lang w:val="en-US" w:eastAsia="zh-CN"/>
        </w:rPr>
        <w:t>5</w:t>
      </w:r>
      <w:r>
        <w:rPr>
          <w:rFonts w:hint="eastAsia" w:ascii="宋体" w:hAnsi="宋体" w:eastAsia="宋体" w:cs="宋体"/>
          <w:bCs/>
          <w:color w:val="000000"/>
          <w:szCs w:val="24"/>
          <w:highlight w:val="none"/>
        </w:rPr>
        <w:t>.乙方应保证不会侵犯任何第三方知识产权（含因开发需要采购的中间件、操作系统等平台软件）。若出现争议，一律由乙方承担全部责任，由此发生的一切费用均由乙方承担。</w:t>
      </w:r>
    </w:p>
    <w:p w14:paraId="044406E7">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Times New Roman" w:hAnsi="Times New Roman"/>
          <w:bCs/>
          <w:color w:val="000000"/>
          <w:szCs w:val="24"/>
          <w:highlight w:val="none"/>
        </w:rPr>
        <w:t>本项目服务内容所涉的所有的成果文件获得批准实施前，任何单位和个人未经同意都无权以任何形式</w:t>
      </w:r>
      <w:r>
        <w:rPr>
          <w:rFonts w:hint="eastAsia" w:ascii="宋体" w:hAnsi="宋体" w:eastAsia="宋体" w:cs="宋体"/>
          <w:bCs/>
          <w:color w:val="000000"/>
          <w:szCs w:val="24"/>
          <w:highlight w:val="none"/>
        </w:rPr>
        <w:t>向第三方和社会公开展示成果。</w:t>
      </w:r>
    </w:p>
    <w:p w14:paraId="6EDDAC7A">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lang w:val="en-US" w:eastAsia="zh-CN"/>
        </w:rPr>
        <w:t>6.</w:t>
      </w:r>
      <w:r>
        <w:rPr>
          <w:rFonts w:hint="eastAsia" w:ascii="宋体" w:hAnsi="宋体" w:eastAsia="宋体" w:cs="宋体"/>
          <w:bCs/>
          <w:color w:val="000000"/>
          <w:szCs w:val="24"/>
          <w:highlight w:val="none"/>
        </w:rPr>
        <w:t>乙方开展项目研究过程中形成的数据、资料、调研成果、最终报告等全部研究成果的知识产权归甲方所有。</w:t>
      </w:r>
    </w:p>
    <w:p w14:paraId="5EA4BE01">
      <w:pPr>
        <w:pStyle w:val="23"/>
        <w:snapToGrid w:val="0"/>
        <w:spacing w:line="360" w:lineRule="auto"/>
        <w:ind w:firstLine="422" w:firstLineChars="200"/>
        <w:rPr>
          <w:rFonts w:ascii="Times New Roman" w:hAnsi="Times New Roman"/>
          <w:b/>
          <w:color w:val="000000"/>
          <w:szCs w:val="24"/>
          <w:highlight w:val="none"/>
        </w:rPr>
      </w:pPr>
      <w:r>
        <w:rPr>
          <w:rFonts w:hint="eastAsia" w:ascii="宋体" w:hAnsi="宋体" w:eastAsia="宋体" w:cs="宋体"/>
          <w:b/>
          <w:bCs/>
          <w:color w:val="000000"/>
          <w:szCs w:val="24"/>
          <w:highlight w:val="none"/>
        </w:rPr>
        <w:t>第七条</w:t>
      </w:r>
      <w:r>
        <w:rPr>
          <w:rFonts w:ascii="Times New Roman" w:hAnsi="Times New Roman" w:eastAsia="黑体"/>
          <w:color w:val="000000"/>
          <w:szCs w:val="24"/>
          <w:highlight w:val="none"/>
        </w:rPr>
        <w:t xml:space="preserve"> </w:t>
      </w:r>
      <w:r>
        <w:rPr>
          <w:rFonts w:hint="eastAsia" w:ascii="Times New Roman" w:hAnsi="Times New Roman" w:eastAsia="黑体"/>
          <w:color w:val="000000"/>
          <w:szCs w:val="24"/>
          <w:highlight w:val="none"/>
          <w:lang w:val="en-US" w:eastAsia="zh-CN"/>
        </w:rPr>
        <w:t xml:space="preserve"> </w:t>
      </w:r>
      <w:r>
        <w:rPr>
          <w:rFonts w:hint="eastAsia" w:ascii="Times New Roman" w:hAnsi="Times New Roman"/>
          <w:b/>
          <w:color w:val="000000"/>
          <w:szCs w:val="24"/>
          <w:highlight w:val="none"/>
        </w:rPr>
        <w:t>验收、评价方法：</w:t>
      </w:r>
    </w:p>
    <w:p w14:paraId="1B940B3E">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1.乙方保证在规定的时间内完成合同范围规定的工作；</w:t>
      </w:r>
    </w:p>
    <w:p w14:paraId="67AB658B">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2.甲方负责安排组织评审，乙方给予必要的协助；</w:t>
      </w:r>
    </w:p>
    <w:p w14:paraId="547B9BD6">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3.在报告评审期间，乙方有义务委派本方专家，负责评审过程中的专题答辩、解释等相关工作，并负责根据审查评审的意见进行修改或补充工作；</w:t>
      </w:r>
    </w:p>
    <w:p w14:paraId="1C7E1FA2">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4.所有成果文件必须满足相关规范要求，且成果须通过市级审查。</w:t>
      </w:r>
    </w:p>
    <w:p w14:paraId="5C59FEA5">
      <w:pPr>
        <w:pStyle w:val="23"/>
        <w:snapToGrid w:val="0"/>
        <w:spacing w:line="360" w:lineRule="auto"/>
        <w:ind w:firstLine="422" w:firstLineChars="200"/>
        <w:rPr>
          <w:rFonts w:ascii="Times New Roman" w:hAnsi="Times New Roman"/>
          <w:b/>
          <w:color w:val="000000"/>
          <w:szCs w:val="24"/>
          <w:highlight w:val="none"/>
        </w:rPr>
      </w:pPr>
      <w:r>
        <w:rPr>
          <w:rFonts w:hint="eastAsia" w:ascii="宋体" w:hAnsi="宋体" w:eastAsia="宋体" w:cs="宋体"/>
          <w:b/>
          <w:bCs/>
          <w:color w:val="000000"/>
          <w:szCs w:val="24"/>
          <w:highlight w:val="none"/>
        </w:rPr>
        <w:t>第八条</w:t>
      </w:r>
      <w:r>
        <w:rPr>
          <w:rFonts w:ascii="Times New Roman" w:hAnsi="Times New Roman" w:eastAsia="黑体"/>
          <w:color w:val="000000"/>
          <w:szCs w:val="24"/>
          <w:highlight w:val="none"/>
        </w:rPr>
        <w:t xml:space="preserve"> </w:t>
      </w:r>
      <w:r>
        <w:rPr>
          <w:rFonts w:hint="eastAsia" w:ascii="Times New Roman" w:hAnsi="Times New Roman" w:eastAsia="黑体"/>
          <w:color w:val="000000"/>
          <w:szCs w:val="24"/>
          <w:highlight w:val="none"/>
          <w:lang w:val="en-US" w:eastAsia="zh-CN"/>
        </w:rPr>
        <w:t xml:space="preserve"> </w:t>
      </w:r>
      <w:r>
        <w:rPr>
          <w:rFonts w:hint="eastAsia" w:ascii="Times New Roman" w:hAnsi="Times New Roman"/>
          <w:b/>
          <w:color w:val="000000"/>
          <w:szCs w:val="24"/>
          <w:highlight w:val="none"/>
        </w:rPr>
        <w:t>保证、补救、违约责任</w:t>
      </w:r>
    </w:p>
    <w:p w14:paraId="38A1F584">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1.乙方在进行本项目工作时，应保证项目工作按本合同的内容及规定的时间内完成，以确保甲方工程项目计划的实施。如果乙方没有按合同提供或实施合同所需的服务及工作时，在不限制甲方终止合同权利的情况下，乙方应自费进行有关的补救工作，如：加班加点，增加人力等措施。</w:t>
      </w:r>
    </w:p>
    <w:p w14:paraId="2C1D73BC">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2.乙方应保证提交的技术成果的完整性及准确性并具有足够说服力，以通过审查。由于乙方的疏忽失误、失责等原因造成的返工、修正，乙方应自费进行处理；</w:t>
      </w:r>
    </w:p>
    <w:p w14:paraId="1E0A5070">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3.违反本合同约定，违约方应当按照《中华人民共和国</w:t>
      </w:r>
      <w:r>
        <w:rPr>
          <w:rFonts w:hint="eastAsia" w:ascii="宋体" w:hAnsi="宋体" w:eastAsia="宋体" w:cs="宋体"/>
          <w:bCs/>
          <w:color w:val="000000"/>
          <w:szCs w:val="24"/>
          <w:highlight w:val="none"/>
          <w:lang w:val="en-US" w:eastAsia="zh-CN"/>
        </w:rPr>
        <w:t>民法典</w:t>
      </w:r>
      <w:r>
        <w:rPr>
          <w:rFonts w:hint="eastAsia" w:ascii="宋体" w:hAnsi="宋体" w:eastAsia="宋体" w:cs="宋体"/>
          <w:bCs/>
          <w:color w:val="000000"/>
          <w:szCs w:val="24"/>
          <w:highlight w:val="none"/>
        </w:rPr>
        <w:t>》有关条款的规定，承担违约责任。</w:t>
      </w:r>
    </w:p>
    <w:p w14:paraId="5E88744E">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（1）因研究深度不够、资料不足、方案缺陷或编制报告质量低劣达不到要求，或未按期提交成果，拖延工期，并给甲方造成损失，除由乙方继续完善设计任务外，并视造成损失的大小向甲方支付赔偿金。</w:t>
      </w:r>
    </w:p>
    <w:p w14:paraId="23C3683C">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（2）乙方未按合同规定时间提供相应成果的，每延误1天，甲方将按</w:t>
      </w:r>
      <w:r>
        <w:rPr>
          <w:rFonts w:hint="eastAsia" w:ascii="宋体" w:hAnsi="宋体" w:eastAsia="宋体" w:cs="宋体"/>
          <w:bCs/>
          <w:color w:val="000000"/>
          <w:szCs w:val="24"/>
          <w:highlight w:val="none"/>
          <w:lang w:val="en-US" w:eastAsia="zh-CN"/>
        </w:rPr>
        <w:t>合同总价</w:t>
      </w:r>
      <w:r>
        <w:rPr>
          <w:rFonts w:hint="eastAsia" w:ascii="宋体" w:hAnsi="宋体" w:eastAsia="宋体" w:cs="宋体"/>
          <w:bCs/>
          <w:color w:val="000000"/>
          <w:szCs w:val="24"/>
          <w:highlight w:val="none"/>
        </w:rPr>
        <w:t>的1%作为违约金；工作累计延误</w:t>
      </w:r>
      <w:r>
        <w:rPr>
          <w:rFonts w:hint="eastAsia" w:ascii="宋体" w:hAnsi="宋体" w:eastAsia="宋体" w:cs="宋体"/>
          <w:bCs/>
          <w:color w:val="000000"/>
          <w:szCs w:val="24"/>
          <w:highlight w:val="none"/>
          <w:lang w:val="en-US" w:eastAsia="zh-CN"/>
        </w:rPr>
        <w:t>20</w:t>
      </w:r>
      <w:r>
        <w:rPr>
          <w:rFonts w:hint="eastAsia" w:ascii="宋体" w:hAnsi="宋体" w:eastAsia="宋体" w:cs="宋体"/>
          <w:bCs/>
          <w:color w:val="000000"/>
          <w:szCs w:val="24"/>
          <w:highlight w:val="none"/>
        </w:rPr>
        <w:t>天，甲方有权单方收回方案研究工作，另行委托。情节严重的，甲方可以单方面解除本合同，且履约保证金不予退还。</w:t>
      </w:r>
    </w:p>
    <w:p w14:paraId="140C702A">
      <w:pPr>
        <w:pStyle w:val="23"/>
        <w:snapToGrid w:val="0"/>
        <w:spacing w:line="360" w:lineRule="auto"/>
        <w:ind w:firstLine="420" w:firstLineChars="200"/>
        <w:rPr>
          <w:rFonts w:ascii="Times New Roman" w:hAnsi="Times New Roman"/>
          <w:bCs/>
          <w:color w:val="000000"/>
          <w:szCs w:val="24"/>
          <w:highlight w:val="none"/>
        </w:rPr>
      </w:pPr>
      <w:r>
        <w:rPr>
          <w:rFonts w:hint="eastAsia" w:ascii="宋体" w:hAnsi="宋体" w:eastAsia="宋体" w:cs="宋体"/>
          <w:bCs/>
          <w:color w:val="000000"/>
          <w:szCs w:val="24"/>
          <w:highlight w:val="none"/>
        </w:rPr>
        <w:t>（3）其它：无。</w:t>
      </w:r>
    </w:p>
    <w:p w14:paraId="03584092">
      <w:pPr>
        <w:pStyle w:val="23"/>
        <w:snapToGrid w:val="0"/>
        <w:spacing w:line="360" w:lineRule="auto"/>
        <w:ind w:firstLine="422" w:firstLineChars="200"/>
        <w:rPr>
          <w:rFonts w:ascii="Times New Roman" w:hAnsi="Times New Roman"/>
          <w:b/>
          <w:color w:val="000000"/>
          <w:szCs w:val="24"/>
          <w:highlight w:val="none"/>
        </w:rPr>
      </w:pPr>
      <w:r>
        <w:rPr>
          <w:rFonts w:hint="eastAsia" w:ascii="宋体" w:hAnsi="宋体" w:eastAsia="宋体" w:cs="宋体"/>
          <w:b/>
          <w:bCs/>
          <w:color w:val="000000"/>
          <w:szCs w:val="24"/>
          <w:highlight w:val="none"/>
        </w:rPr>
        <w:t>第九条</w:t>
      </w:r>
      <w:r>
        <w:rPr>
          <w:rFonts w:ascii="Times New Roman" w:hAnsi="Times New Roman" w:eastAsia="黑体"/>
          <w:color w:val="000000"/>
          <w:szCs w:val="24"/>
          <w:highlight w:val="none"/>
        </w:rPr>
        <w:t xml:space="preserve"> </w:t>
      </w:r>
      <w:r>
        <w:rPr>
          <w:rFonts w:hint="eastAsia" w:ascii="Times New Roman" w:hAnsi="Times New Roman" w:eastAsia="黑体"/>
          <w:color w:val="000000"/>
          <w:szCs w:val="24"/>
          <w:highlight w:val="none"/>
          <w:lang w:val="en-US" w:eastAsia="zh-CN"/>
        </w:rPr>
        <w:t xml:space="preserve"> </w:t>
      </w:r>
      <w:r>
        <w:rPr>
          <w:rFonts w:hint="eastAsia" w:ascii="Times New Roman" w:hAnsi="Times New Roman"/>
          <w:b/>
          <w:color w:val="000000"/>
          <w:szCs w:val="24"/>
          <w:highlight w:val="none"/>
        </w:rPr>
        <w:t>适用法律与仲裁</w:t>
      </w:r>
    </w:p>
    <w:p w14:paraId="149310F2">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1.本合同适用法律为中华人民共和国法律、部门规章和江苏省政府和部门颁布的法规、规章和条例。</w:t>
      </w:r>
    </w:p>
    <w:p w14:paraId="14B9DFA9">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2.如双方因本合同发生纠纷时,双方本着平等互利、协商一致的原则协商解决，若协商不成，可向</w:t>
      </w:r>
      <w:r>
        <w:rPr>
          <w:rFonts w:hint="eastAsia" w:ascii="宋体" w:hAnsi="宋体" w:eastAsia="宋体" w:cs="宋体"/>
          <w:bCs/>
          <w:color w:val="000000"/>
          <w:szCs w:val="24"/>
          <w:highlight w:val="none"/>
          <w:u w:val="single"/>
        </w:rPr>
        <w:t>南通仲裁委员会</w:t>
      </w:r>
      <w:r>
        <w:rPr>
          <w:rFonts w:hint="eastAsia" w:ascii="宋体" w:hAnsi="宋体" w:eastAsia="宋体" w:cs="宋体"/>
          <w:bCs/>
          <w:color w:val="000000"/>
          <w:szCs w:val="24"/>
          <w:highlight w:val="none"/>
        </w:rPr>
        <w:t>按其规则提起仲裁。</w:t>
      </w:r>
    </w:p>
    <w:p w14:paraId="0EA5FA01">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3.除非在仲裁裁决书中另有规定，否则，仲裁费由败诉方承担；</w:t>
      </w:r>
    </w:p>
    <w:p w14:paraId="133A442F">
      <w:pPr>
        <w:pStyle w:val="23"/>
        <w:snapToGrid w:val="0"/>
        <w:spacing w:line="360" w:lineRule="auto"/>
        <w:ind w:firstLine="420" w:firstLineChars="200"/>
        <w:rPr>
          <w:rFonts w:ascii="Times New Roman" w:hAnsi="Times New Roman"/>
          <w:bCs/>
          <w:color w:val="000000"/>
          <w:szCs w:val="24"/>
          <w:highlight w:val="none"/>
        </w:rPr>
      </w:pPr>
      <w:r>
        <w:rPr>
          <w:rFonts w:hint="eastAsia" w:ascii="宋体" w:hAnsi="宋体" w:eastAsia="宋体" w:cs="宋体"/>
          <w:bCs/>
          <w:color w:val="000000"/>
          <w:szCs w:val="24"/>
          <w:highlight w:val="none"/>
        </w:rPr>
        <w:t>4.仲裁双方在仲裁过程中要继续履行合同，但提交仲裁的那些部分除外。</w:t>
      </w:r>
    </w:p>
    <w:p w14:paraId="1C0DB726">
      <w:pPr>
        <w:pStyle w:val="23"/>
        <w:snapToGrid w:val="0"/>
        <w:spacing w:line="360" w:lineRule="auto"/>
        <w:ind w:firstLine="422" w:firstLineChars="200"/>
        <w:rPr>
          <w:rFonts w:hint="eastAsia" w:ascii="宋体" w:hAnsi="宋体" w:eastAsia="宋体" w:cs="宋体"/>
          <w:b/>
          <w:color w:val="000000"/>
          <w:szCs w:val="24"/>
          <w:highlight w:val="none"/>
        </w:rPr>
      </w:pPr>
      <w:r>
        <w:rPr>
          <w:rFonts w:hint="eastAsia" w:ascii="宋体" w:hAnsi="宋体" w:eastAsia="宋体" w:cs="宋体"/>
          <w:b/>
          <w:bCs/>
          <w:color w:val="000000"/>
          <w:szCs w:val="24"/>
          <w:highlight w:val="none"/>
        </w:rPr>
        <w:t>第十条</w:t>
      </w:r>
      <w:r>
        <w:rPr>
          <w:rFonts w:hint="eastAsia" w:ascii="宋体" w:hAnsi="宋体" w:eastAsia="宋体" w:cs="宋体"/>
          <w:color w:val="000000"/>
          <w:szCs w:val="24"/>
          <w:highlight w:val="none"/>
        </w:rPr>
        <w:t xml:space="preserve"> </w:t>
      </w:r>
      <w:r>
        <w:rPr>
          <w:rFonts w:hint="eastAsia" w:ascii="宋体" w:hAnsi="宋体" w:eastAsia="宋体" w:cs="宋体"/>
          <w:color w:val="000000"/>
          <w:szCs w:val="24"/>
          <w:highlight w:val="none"/>
          <w:lang w:val="en-US" w:eastAsia="zh-CN"/>
        </w:rPr>
        <w:t xml:space="preserve"> </w:t>
      </w:r>
      <w:r>
        <w:rPr>
          <w:rFonts w:hint="eastAsia" w:ascii="宋体" w:hAnsi="宋体" w:eastAsia="宋体" w:cs="宋体"/>
          <w:b/>
          <w:color w:val="000000"/>
          <w:szCs w:val="24"/>
          <w:highlight w:val="none"/>
        </w:rPr>
        <w:t>合同生效及其他</w:t>
      </w:r>
    </w:p>
    <w:p w14:paraId="01486E78">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1.本合同未尽事宜，按《中华人民共和国</w:t>
      </w:r>
      <w:r>
        <w:rPr>
          <w:rFonts w:hint="eastAsia" w:ascii="宋体" w:hAnsi="宋体" w:eastAsia="宋体" w:cs="宋体"/>
          <w:bCs/>
          <w:color w:val="000000"/>
          <w:szCs w:val="24"/>
          <w:highlight w:val="none"/>
          <w:lang w:val="en-US" w:eastAsia="zh-CN"/>
        </w:rPr>
        <w:t>民法典</w:t>
      </w:r>
      <w:r>
        <w:rPr>
          <w:rFonts w:hint="eastAsia" w:ascii="宋体" w:hAnsi="宋体" w:eastAsia="宋体" w:cs="宋体"/>
          <w:bCs/>
          <w:color w:val="000000"/>
          <w:szCs w:val="24"/>
          <w:highlight w:val="none"/>
        </w:rPr>
        <w:t>》规定执行。</w:t>
      </w:r>
    </w:p>
    <w:p w14:paraId="37C8AEEC">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2.乙方提交初稿后甲方如有修改意见，乙方应提供无偿修改。</w:t>
      </w:r>
    </w:p>
    <w:p w14:paraId="049664D9">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3.经双方共同认可的补充协议、文件及其附件及会议纪要与本合同具有同等效力。</w:t>
      </w:r>
    </w:p>
    <w:p w14:paraId="226EAFCE">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4.本合同中相同的词及词组具有相同的含义，合同标题不是合同的全部条件和要求；</w:t>
      </w:r>
    </w:p>
    <w:p w14:paraId="073751EB">
      <w:pPr>
        <w:pStyle w:val="23"/>
        <w:snapToGrid w:val="0"/>
        <w:spacing w:line="360" w:lineRule="auto"/>
        <w:ind w:firstLine="420" w:firstLineChars="200"/>
        <w:rPr>
          <w:rFonts w:hint="eastAsia" w:ascii="宋体" w:hAnsi="宋体" w:eastAsia="宋体" w:cs="宋体"/>
          <w:bCs/>
          <w:color w:val="000000"/>
          <w:szCs w:val="24"/>
          <w:highlight w:val="none"/>
        </w:rPr>
      </w:pPr>
      <w:r>
        <w:rPr>
          <w:rFonts w:hint="eastAsia" w:ascii="宋体" w:hAnsi="宋体" w:eastAsia="宋体" w:cs="宋体"/>
          <w:bCs/>
          <w:color w:val="000000"/>
          <w:szCs w:val="24"/>
          <w:highlight w:val="none"/>
        </w:rPr>
        <w:t>5.本合同将取代双方在此以前的所有书面或口头与本合同有关的谈判文件、表述，对本合同条件的任何修改，变更或修正只有通过书面形式并经双方授权代表签字后，才具有法律效力；</w:t>
      </w:r>
    </w:p>
    <w:p w14:paraId="4FB10539">
      <w:pPr>
        <w:snapToGrid w:val="0"/>
        <w:spacing w:line="360" w:lineRule="auto"/>
        <w:ind w:firstLine="411" w:firstLineChars="196"/>
        <w:rPr>
          <w:rFonts w:hint="eastAsia" w:ascii="宋体" w:hAnsi="宋体" w:eastAsia="宋体" w:cs="宋体"/>
          <w:color w:val="000000"/>
          <w:highlight w:val="none"/>
        </w:rPr>
      </w:pPr>
      <w:r>
        <w:rPr>
          <w:rFonts w:hint="eastAsia" w:ascii="宋体" w:hAnsi="宋体" w:eastAsia="宋体" w:cs="宋体"/>
          <w:color w:val="000000"/>
          <w:highlight w:val="none"/>
        </w:rPr>
        <w:t>6.本合同经双方签字盖章后生效，至全部履行条款后终止。本合同未尽事宜，双方另行协商。</w:t>
      </w:r>
    </w:p>
    <w:p w14:paraId="73301A0E">
      <w:pPr>
        <w:snapToGrid w:val="0"/>
        <w:spacing w:line="360" w:lineRule="auto"/>
        <w:ind w:firstLine="411" w:firstLineChars="196"/>
        <w:rPr>
          <w:rFonts w:hint="eastAsia" w:ascii="宋体" w:hAnsi="宋体" w:eastAsia="宋体" w:cs="宋体"/>
          <w:color w:val="000000"/>
          <w:highlight w:val="none"/>
        </w:rPr>
      </w:pPr>
      <w:r>
        <w:rPr>
          <w:rFonts w:hint="eastAsia" w:ascii="宋体" w:hAnsi="宋体" w:eastAsia="宋体" w:cs="宋体"/>
          <w:color w:val="000000"/>
          <w:highlight w:val="none"/>
          <w:lang w:val="en-US" w:eastAsia="zh-CN"/>
        </w:rPr>
        <w:t>7.</w:t>
      </w:r>
      <w:r>
        <w:rPr>
          <w:rFonts w:hint="eastAsia" w:ascii="宋体" w:hAnsi="宋体" w:eastAsia="宋体" w:cs="宋体"/>
          <w:color w:val="000000"/>
          <w:highlight w:val="none"/>
        </w:rPr>
        <w:t>履约保证金在完成所有成果文件且完成相关的后续服务工作后，由发包人在收到承包人申请后的15日退还。</w:t>
      </w:r>
    </w:p>
    <w:p w14:paraId="3BB3B9BB">
      <w:pPr>
        <w:snapToGrid w:val="0"/>
        <w:spacing w:line="360" w:lineRule="auto"/>
        <w:ind w:firstLine="411" w:firstLineChars="196"/>
        <w:rPr>
          <w:rFonts w:hint="eastAsia" w:cs="Courier New"/>
          <w:color w:val="000000"/>
          <w:highlight w:val="none"/>
        </w:rPr>
      </w:pPr>
      <w:r>
        <w:rPr>
          <w:rFonts w:hint="eastAsia" w:ascii="宋体" w:hAnsi="宋体" w:eastAsia="宋体" w:cs="宋体"/>
          <w:color w:val="000000"/>
          <w:highlight w:val="none"/>
          <w:lang w:val="en-US" w:eastAsia="zh-CN"/>
        </w:rPr>
        <w:t>8</w:t>
      </w:r>
      <w:r>
        <w:rPr>
          <w:rFonts w:hint="eastAsia" w:ascii="宋体" w:hAnsi="宋体" w:eastAsia="宋体" w:cs="宋体"/>
          <w:color w:val="000000"/>
          <w:highlight w:val="none"/>
        </w:rPr>
        <w:t>.本合同正本一式陆份，双方各执</w:t>
      </w:r>
      <w:r>
        <w:rPr>
          <w:rFonts w:hint="eastAsia" w:ascii="宋体" w:hAnsi="宋体" w:cs="宋体"/>
          <w:color w:val="000000"/>
          <w:highlight w:val="none"/>
          <w:lang w:val="en-US" w:eastAsia="zh-CN"/>
        </w:rPr>
        <w:t>叁</w:t>
      </w:r>
      <w:r>
        <w:rPr>
          <w:rFonts w:hint="eastAsia" w:ascii="宋体" w:hAnsi="宋体" w:eastAsia="宋体" w:cs="宋体"/>
          <w:color w:val="000000"/>
          <w:highlight w:val="none"/>
        </w:rPr>
        <w:t>份。</w:t>
      </w:r>
    </w:p>
    <w:p w14:paraId="6680C907">
      <w:pPr>
        <w:pStyle w:val="46"/>
        <w:ind w:firstLine="480"/>
        <w:rPr>
          <w:color w:val="000000"/>
          <w:highlight w:val="none"/>
        </w:rPr>
      </w:pPr>
    </w:p>
    <w:bookmarkEnd w:id="77"/>
    <w:p w14:paraId="1AF557FB">
      <w:pPr>
        <w:autoSpaceDE w:val="0"/>
        <w:autoSpaceDN w:val="0"/>
        <w:adjustRightInd w:val="0"/>
        <w:spacing w:line="400" w:lineRule="exact"/>
        <w:ind w:firstLine="420" w:firstLineChars="200"/>
        <w:jc w:val="left"/>
        <w:rPr>
          <w:rFonts w:hint="eastAsia" w:ascii="宋体" w:hAnsi="宋体" w:cs="宋体"/>
          <w:kern w:val="0"/>
          <w:position w:val="-3"/>
          <w:highlight w:val="none"/>
        </w:rPr>
      </w:pPr>
      <w:r>
        <w:rPr>
          <w:rFonts w:hint="eastAsia" w:ascii="宋体" w:hAnsi="宋体" w:cs="宋体"/>
          <w:kern w:val="0"/>
          <w:position w:val="-3"/>
          <w:highlight w:val="none"/>
          <w:lang w:val="en-US" w:eastAsia="zh-CN"/>
        </w:rPr>
        <w:t>甲方</w:t>
      </w:r>
      <w:r>
        <w:rPr>
          <w:rFonts w:hint="eastAsia" w:ascii="宋体" w:hAnsi="宋体" w:cs="宋体"/>
          <w:kern w:val="0"/>
          <w:position w:val="-3"/>
          <w:highlight w:val="none"/>
        </w:rPr>
        <w:t>：</w:t>
      </w:r>
      <w:r>
        <w:rPr>
          <w:rFonts w:ascii="宋体" w:hAnsi="宋体" w:cs="宋体"/>
          <w:kern w:val="0"/>
          <w:position w:val="-3"/>
          <w:highlight w:val="none"/>
          <w:u w:val="single"/>
        </w:rPr>
        <w:t xml:space="preserve"> </w:t>
      </w:r>
      <w:r>
        <w:rPr>
          <w:rFonts w:hint="eastAsia" w:ascii="宋体" w:hAnsi="宋体" w:cs="宋体"/>
          <w:kern w:val="0"/>
          <w:position w:val="-3"/>
          <w:highlight w:val="none"/>
          <w:u w:val="single"/>
        </w:rPr>
        <w:t xml:space="preserve">                 </w:t>
      </w:r>
      <w:r>
        <w:rPr>
          <w:rFonts w:hint="eastAsia" w:ascii="宋体" w:hAnsi="宋体" w:cs="宋体"/>
          <w:kern w:val="0"/>
          <w:position w:val="-3"/>
          <w:highlight w:val="none"/>
        </w:rPr>
        <w:t>（盖单位章）</w:t>
      </w:r>
      <w:r>
        <w:rPr>
          <w:rFonts w:ascii="宋体" w:hAnsi="宋体" w:cs="宋体"/>
          <w:kern w:val="0"/>
          <w:position w:val="-3"/>
          <w:highlight w:val="none"/>
        </w:rPr>
        <w:t xml:space="preserve"> </w:t>
      </w:r>
      <w:r>
        <w:rPr>
          <w:rFonts w:hint="eastAsia" w:ascii="宋体" w:hAnsi="宋体" w:cs="宋体"/>
          <w:kern w:val="0"/>
          <w:position w:val="-3"/>
          <w:highlight w:val="none"/>
        </w:rPr>
        <w:t xml:space="preserve">  </w:t>
      </w:r>
      <w:r>
        <w:rPr>
          <w:rFonts w:hint="eastAsia" w:ascii="宋体" w:hAnsi="宋体" w:cs="宋体"/>
          <w:kern w:val="0"/>
          <w:position w:val="-3"/>
          <w:highlight w:val="none"/>
          <w:lang w:val="en-US" w:eastAsia="zh-CN"/>
        </w:rPr>
        <w:t xml:space="preserve">     </w:t>
      </w:r>
      <w:r>
        <w:rPr>
          <w:rFonts w:ascii="宋体" w:hAnsi="宋体" w:cs="宋体"/>
          <w:kern w:val="0"/>
          <w:position w:val="-3"/>
          <w:highlight w:val="none"/>
        </w:rPr>
        <w:tab/>
      </w:r>
      <w:r>
        <w:rPr>
          <w:rFonts w:hint="eastAsia" w:ascii="宋体" w:hAnsi="宋体" w:cs="宋体"/>
          <w:kern w:val="0"/>
          <w:position w:val="-3"/>
          <w:highlight w:val="none"/>
        </w:rPr>
        <w:t xml:space="preserve"> </w:t>
      </w:r>
      <w:r>
        <w:rPr>
          <w:rFonts w:hint="eastAsia" w:ascii="宋体" w:hAnsi="宋体" w:eastAsia="宋体" w:cs="宋体"/>
          <w:bCs/>
          <w:color w:val="000000"/>
          <w:szCs w:val="24"/>
          <w:highlight w:val="none"/>
        </w:rPr>
        <w:t>乙方</w:t>
      </w:r>
      <w:r>
        <w:rPr>
          <w:rFonts w:hint="eastAsia" w:ascii="宋体" w:hAnsi="宋体" w:cs="宋体"/>
          <w:kern w:val="0"/>
          <w:position w:val="-3"/>
          <w:highlight w:val="none"/>
        </w:rPr>
        <w:t>：</w:t>
      </w:r>
      <w:r>
        <w:rPr>
          <w:rFonts w:ascii="宋体" w:hAnsi="宋体" w:cs="宋体"/>
          <w:kern w:val="0"/>
          <w:position w:val="-3"/>
          <w:highlight w:val="none"/>
          <w:u w:val="single"/>
        </w:rPr>
        <w:t xml:space="preserve"> </w:t>
      </w:r>
      <w:r>
        <w:rPr>
          <w:rFonts w:hint="eastAsia" w:ascii="宋体" w:hAnsi="宋体" w:cs="宋体"/>
          <w:kern w:val="0"/>
          <w:position w:val="-3"/>
          <w:highlight w:val="none"/>
          <w:u w:val="single"/>
        </w:rPr>
        <w:t xml:space="preserve">              </w:t>
      </w:r>
      <w:r>
        <w:rPr>
          <w:rFonts w:ascii="宋体" w:hAnsi="宋体" w:cs="宋体"/>
          <w:kern w:val="0"/>
          <w:position w:val="-3"/>
          <w:highlight w:val="none"/>
          <w:u w:val="single"/>
        </w:rPr>
        <w:t xml:space="preserve">  </w:t>
      </w:r>
      <w:r>
        <w:rPr>
          <w:rFonts w:hint="eastAsia" w:ascii="宋体" w:hAnsi="宋体" w:cs="宋体"/>
          <w:kern w:val="0"/>
          <w:position w:val="-3"/>
          <w:highlight w:val="none"/>
        </w:rPr>
        <w:t>（盖单位章）</w:t>
      </w:r>
      <w:r>
        <w:rPr>
          <w:rFonts w:ascii="宋体" w:hAnsi="宋体" w:cs="宋体"/>
          <w:kern w:val="0"/>
          <w:position w:val="-3"/>
          <w:highlight w:val="none"/>
        </w:rPr>
        <w:t xml:space="preserve"> </w:t>
      </w:r>
    </w:p>
    <w:p w14:paraId="42519E72">
      <w:pPr>
        <w:autoSpaceDE w:val="0"/>
        <w:autoSpaceDN w:val="0"/>
        <w:adjustRightInd w:val="0"/>
        <w:spacing w:line="400" w:lineRule="exact"/>
        <w:ind w:firstLine="420" w:firstLineChars="200"/>
        <w:jc w:val="left"/>
        <w:rPr>
          <w:rFonts w:hint="eastAsia" w:ascii="宋体" w:hAnsi="宋体" w:cs="宋体"/>
          <w:kern w:val="0"/>
          <w:position w:val="-3"/>
          <w:highlight w:val="none"/>
        </w:rPr>
      </w:pPr>
      <w:r>
        <w:rPr>
          <w:rFonts w:hint="eastAsia" w:ascii="宋体" w:hAnsi="宋体" w:cs="宋体"/>
          <w:kern w:val="0"/>
          <w:position w:val="-3"/>
          <w:highlight w:val="none"/>
        </w:rPr>
        <w:t>法定代表人或其委托代理人：</w:t>
      </w:r>
      <w:r>
        <w:rPr>
          <w:rFonts w:hint="eastAsia" w:ascii="宋体" w:hAnsi="宋体" w:cs="宋体"/>
          <w:kern w:val="0"/>
          <w:position w:val="-3"/>
          <w:highlight w:val="none"/>
          <w:u w:val="single"/>
        </w:rPr>
        <w:t xml:space="preserve">    </w:t>
      </w:r>
      <w:r>
        <w:rPr>
          <w:rFonts w:hint="eastAsia" w:ascii="宋体" w:hAnsi="宋体" w:cs="宋体"/>
          <w:kern w:val="0"/>
          <w:position w:val="-3"/>
          <w:highlight w:val="none"/>
        </w:rPr>
        <w:t>（签字）       法定代表人或其委托代理人：</w:t>
      </w:r>
      <w:r>
        <w:rPr>
          <w:rFonts w:hint="eastAsia" w:ascii="宋体" w:hAnsi="宋体" w:cs="宋体"/>
          <w:kern w:val="0"/>
          <w:position w:val="-3"/>
          <w:highlight w:val="none"/>
          <w:u w:val="single"/>
        </w:rPr>
        <w:t xml:space="preserve">  </w:t>
      </w:r>
      <w:r>
        <w:rPr>
          <w:rFonts w:hint="eastAsia" w:ascii="宋体" w:hAnsi="宋体" w:cs="宋体"/>
          <w:kern w:val="0"/>
          <w:position w:val="-3"/>
          <w:highlight w:val="none"/>
          <w:u w:val="single"/>
          <w:lang w:val="en-US" w:eastAsia="zh-CN"/>
        </w:rPr>
        <w:t xml:space="preserve"> </w:t>
      </w:r>
      <w:r>
        <w:rPr>
          <w:rFonts w:hint="eastAsia" w:ascii="宋体" w:hAnsi="宋体" w:cs="宋体"/>
          <w:kern w:val="0"/>
          <w:position w:val="-3"/>
          <w:highlight w:val="none"/>
          <w:u w:val="single"/>
        </w:rPr>
        <w:t xml:space="preserve"> </w:t>
      </w:r>
      <w:r>
        <w:rPr>
          <w:rFonts w:hint="eastAsia" w:ascii="宋体" w:hAnsi="宋体" w:cs="宋体"/>
          <w:kern w:val="0"/>
          <w:position w:val="-3"/>
          <w:highlight w:val="none"/>
        </w:rPr>
        <w:t>（签字）</w:t>
      </w:r>
    </w:p>
    <w:p w14:paraId="572D652C">
      <w:pPr>
        <w:autoSpaceDE w:val="0"/>
        <w:autoSpaceDN w:val="0"/>
        <w:adjustRightInd w:val="0"/>
        <w:spacing w:line="400" w:lineRule="exact"/>
        <w:ind w:firstLine="420" w:firstLineChars="200"/>
        <w:jc w:val="left"/>
        <w:rPr>
          <w:rFonts w:hint="eastAsia" w:ascii="宋体" w:hAnsi="宋体"/>
          <w:highlight w:val="none"/>
        </w:rPr>
      </w:pPr>
      <w:r>
        <w:rPr>
          <w:rFonts w:hint="eastAsia" w:ascii="宋体" w:hAnsi="宋体"/>
          <w:highlight w:val="none"/>
          <w:u w:val="none"/>
          <w:lang w:val="en-US" w:eastAsia="zh-CN"/>
        </w:rPr>
        <w:t>日期：</w:t>
      </w:r>
      <w:r>
        <w:rPr>
          <w:rFonts w:hint="eastAsia" w:ascii="宋体" w:hAnsi="宋体"/>
          <w:highlight w:val="none"/>
          <w:u w:val="single"/>
          <w:lang w:val="en-US" w:eastAsia="zh-CN"/>
        </w:rPr>
        <w:t xml:space="preserve">    </w:t>
      </w:r>
      <w:r>
        <w:rPr>
          <w:rFonts w:ascii="宋体" w:hAnsi="宋体"/>
          <w:highlight w:val="none"/>
        </w:rPr>
        <w:t>年</w:t>
      </w:r>
      <w:r>
        <w:rPr>
          <w:rFonts w:hint="eastAsia" w:ascii="宋体" w:hAnsi="宋体"/>
          <w:highlight w:val="none"/>
          <w:u w:val="single"/>
          <w:lang w:val="en-US" w:eastAsia="zh-CN"/>
        </w:rPr>
        <w:t xml:space="preserve">  </w:t>
      </w:r>
      <w:r>
        <w:rPr>
          <w:rFonts w:ascii="宋体" w:hAnsi="宋体"/>
          <w:highlight w:val="none"/>
        </w:rPr>
        <w:t>月</w:t>
      </w:r>
      <w:r>
        <w:rPr>
          <w:rFonts w:hint="eastAsia" w:ascii="宋体" w:hAnsi="宋体"/>
          <w:highlight w:val="none"/>
          <w:u w:val="single"/>
          <w:lang w:val="en-US" w:eastAsia="zh-CN"/>
        </w:rPr>
        <w:t xml:space="preserve">  </w:t>
      </w:r>
      <w:r>
        <w:rPr>
          <w:rFonts w:ascii="宋体" w:hAnsi="宋体"/>
          <w:highlight w:val="none"/>
        </w:rPr>
        <w:t>日</w:t>
      </w:r>
    </w:p>
    <w:p w14:paraId="5C238E8D">
      <w:pPr>
        <w:tabs>
          <w:tab w:val="left" w:pos="1260"/>
        </w:tabs>
        <w:spacing w:line="324" w:lineRule="auto"/>
        <w:ind w:firstLine="480" w:firstLineChars="200"/>
        <w:rPr>
          <w:rFonts w:hint="eastAsia" w:ascii="宋体" w:hAnsi="宋体"/>
          <w:color w:val="000000"/>
          <w:sz w:val="24"/>
          <w:highlight w:val="none"/>
        </w:rPr>
        <w:sectPr>
          <w:pgSz w:w="11906" w:h="16838"/>
          <w:pgMar w:top="1134" w:right="1134" w:bottom="1134" w:left="1621" w:header="851" w:footer="992" w:gutter="0"/>
          <w:pgNumType w:fmt="decimal"/>
          <w:cols w:space="720" w:num="1"/>
          <w:docGrid w:linePitch="380" w:charSpace="0"/>
        </w:sectPr>
      </w:pPr>
    </w:p>
    <w:p w14:paraId="49082752">
      <w:pPr>
        <w:pStyle w:val="3"/>
        <w:snapToGrid w:val="0"/>
        <w:spacing w:before="120" w:after="0" w:line="360" w:lineRule="auto"/>
        <w:jc w:val="center"/>
        <w:rPr>
          <w:color w:val="000000"/>
          <w:highlight w:val="none"/>
        </w:rPr>
      </w:pPr>
      <w:bookmarkStart w:id="78" w:name="_Toc438200529"/>
      <w:r>
        <w:rPr>
          <w:rFonts w:hint="eastAsia" w:ascii="宋体" w:hAnsi="宋体" w:eastAsia="宋体" w:cs="宋体"/>
          <w:color w:val="000000"/>
          <w:sz w:val="36"/>
          <w:szCs w:val="36"/>
          <w:highlight w:val="none"/>
        </w:rPr>
        <w:t>附件一  廉政合同</w:t>
      </w:r>
      <w:bookmarkEnd w:id="78"/>
    </w:p>
    <w:p w14:paraId="05F68B31">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根据交通部《关于在交通基础设施建设中加强廉政建设的若干意见》以及有关工程建设、廉政建设的规定，为做好工程建设中的党风廉政建设，保证工程建设高效优质，保证建设资金的安全和有效使用以及投资效益，</w:t>
      </w:r>
      <w:r>
        <w:rPr>
          <w:rFonts w:hint="eastAsia" w:ascii="宋体" w:hAnsi="宋体" w:cs="宋体"/>
          <w:b/>
          <w:color w:val="000000"/>
          <w:kern w:val="0"/>
          <w:szCs w:val="21"/>
          <w:highlight w:val="none"/>
          <w:u w:val="single"/>
        </w:rPr>
        <w:t xml:space="preserve">               </w:t>
      </w:r>
      <w:r>
        <w:rPr>
          <w:rFonts w:hint="eastAsia"/>
          <w:color w:val="000000"/>
          <w:szCs w:val="21"/>
          <w:highlight w:val="none"/>
        </w:rPr>
        <w:t>（以下称委托人）与咨询单位</w:t>
      </w:r>
      <w:r>
        <w:rPr>
          <w:rFonts w:hint="eastAsia" w:ascii="宋体" w:hAnsi="宋体"/>
          <w:b/>
          <w:color w:val="000000"/>
          <w:szCs w:val="21"/>
          <w:highlight w:val="none"/>
          <w:u w:val="single"/>
        </w:rPr>
        <w:t xml:space="preserve">                      </w:t>
      </w:r>
      <w:r>
        <w:rPr>
          <w:rFonts w:hint="eastAsia" w:ascii="宋体" w:hAnsi="宋体" w:cs="宋体"/>
          <w:b/>
          <w:color w:val="000000"/>
          <w:kern w:val="0"/>
          <w:szCs w:val="21"/>
          <w:highlight w:val="none"/>
          <w:u w:val="single"/>
        </w:rPr>
        <w:t xml:space="preserve"> </w:t>
      </w:r>
      <w:r>
        <w:rPr>
          <w:color w:val="000000"/>
          <w:szCs w:val="21"/>
          <w:highlight w:val="none"/>
          <w:u w:val="single"/>
        </w:rPr>
        <w:t xml:space="preserve"> </w:t>
      </w:r>
      <w:r>
        <w:rPr>
          <w:rFonts w:hint="eastAsia"/>
          <w:color w:val="000000"/>
          <w:szCs w:val="21"/>
          <w:highlight w:val="none"/>
        </w:rPr>
        <w:t>（以下称受托人），特订立如下合同。</w:t>
      </w:r>
    </w:p>
    <w:p w14:paraId="5FC2F773">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第一条</w:t>
      </w:r>
      <w:r>
        <w:rPr>
          <w:color w:val="000000"/>
          <w:szCs w:val="21"/>
          <w:highlight w:val="none"/>
        </w:rPr>
        <w:t xml:space="preserve">  </w:t>
      </w:r>
      <w:r>
        <w:rPr>
          <w:rFonts w:hint="eastAsia"/>
          <w:color w:val="000000"/>
          <w:szCs w:val="21"/>
          <w:highlight w:val="none"/>
        </w:rPr>
        <w:t>委托人、受托人双方的权利和义务</w:t>
      </w:r>
    </w:p>
    <w:p w14:paraId="09A4E0E9">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（一）严格遵守党的政策和国家有关法律法规及交通部的有关规定。</w:t>
      </w:r>
    </w:p>
    <w:p w14:paraId="00DB8579">
      <w:pPr>
        <w:adjustRightInd w:val="0"/>
        <w:snapToGrid w:val="0"/>
        <w:spacing w:before="36" w:beforeLines="15" w:after="36" w:afterLines="15" w:line="400" w:lineRule="exact"/>
        <w:ind w:firstLine="420" w:firstLineChars="200"/>
        <w:rPr>
          <w:rFonts w:ascii="宋体" w:hAnsi="宋体" w:cs="宋体"/>
          <w:b/>
          <w:color w:val="000000"/>
          <w:kern w:val="0"/>
          <w:szCs w:val="21"/>
          <w:highlight w:val="none"/>
          <w:u w:val="single"/>
        </w:rPr>
      </w:pPr>
      <w:r>
        <w:rPr>
          <w:rFonts w:hint="eastAsia"/>
          <w:color w:val="000000"/>
          <w:szCs w:val="21"/>
          <w:highlight w:val="none"/>
        </w:rPr>
        <w:t>（二）严格执行</w:t>
      </w:r>
      <w:r>
        <w:rPr>
          <w:rFonts w:hint="eastAsia" w:ascii="宋体" w:hAnsi="宋体" w:cs="宋体"/>
          <w:b/>
          <w:color w:val="000000"/>
          <w:kern w:val="0"/>
          <w:szCs w:val="21"/>
          <w:highlight w:val="none"/>
          <w:u w:val="single"/>
        </w:rPr>
        <w:t xml:space="preserve">                           </w:t>
      </w:r>
      <w:r>
        <w:rPr>
          <w:rFonts w:hint="eastAsia"/>
          <w:color w:val="000000"/>
          <w:szCs w:val="21"/>
          <w:highlight w:val="none"/>
        </w:rPr>
        <w:t>的合同文件，自觉按合同办事。</w:t>
      </w:r>
    </w:p>
    <w:p w14:paraId="3C8F774E">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（三）双方的业务活动坚持公开、公正、诚信、透明的原则（法律认定的商业秘密和合同文件另有规定除外），不得损害国家和集体利益，不得违反工程建设管理规章制度。</w:t>
      </w:r>
    </w:p>
    <w:p w14:paraId="5FE6855B">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（四）建立健全廉政制度，开展廉政教育，设立廉政告示牌，公布举报电话，监督并认真查处违法违纪行为。</w:t>
      </w:r>
    </w:p>
    <w:p w14:paraId="518704A8">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（五）发现对方在业务活动中有违反廉政规定的行为，有及时提醒对方纠正的权利和义务。</w:t>
      </w:r>
    </w:p>
    <w:p w14:paraId="3FDD5E47">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（六）发现对方严重违反本合同义务条款的行为，有向其上级有关部门举报、建议给予处理并要求告知处理结果的权利。</w:t>
      </w:r>
    </w:p>
    <w:p w14:paraId="5D47C7CF">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第二条</w:t>
      </w:r>
      <w:r>
        <w:rPr>
          <w:color w:val="000000"/>
          <w:szCs w:val="21"/>
          <w:highlight w:val="none"/>
        </w:rPr>
        <w:t xml:space="preserve">  </w:t>
      </w:r>
      <w:r>
        <w:rPr>
          <w:rFonts w:hint="eastAsia"/>
          <w:color w:val="000000"/>
          <w:szCs w:val="21"/>
          <w:highlight w:val="none"/>
        </w:rPr>
        <w:t>委托人的义务</w:t>
      </w:r>
    </w:p>
    <w:p w14:paraId="0D7C8228">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（一）委托人及其工作人员不得索要或接受受托人的礼金、有价证券和贵重物品，不得让受托人报销任何应由委托人或委托人工作人员个人支付的费用等。</w:t>
      </w:r>
    </w:p>
    <w:p w14:paraId="608D79AF">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（二）委托人工作人员不得参加受托人安排的宴请和娱乐活动；不得接受受托人提供的通讯工具、交通工具和办公用品等。</w:t>
      </w:r>
    </w:p>
    <w:p w14:paraId="71829732">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（三）委托人及其工作人员不得要求或者接受受托人为其住房装修、婚丧嫁娶活动、配偶子女的工作安排以及出国出境、旅游等提供方便等。</w:t>
      </w:r>
    </w:p>
    <w:p w14:paraId="0B5F4667">
      <w:pPr>
        <w:spacing w:line="440" w:lineRule="exact"/>
        <w:ind w:firstLine="359" w:firstLineChars="171"/>
        <w:rPr>
          <w:rFonts w:ascii="宋体" w:hAnsi="宋体"/>
          <w:color w:val="000000"/>
          <w:highlight w:val="none"/>
        </w:rPr>
      </w:pPr>
      <w:r>
        <w:rPr>
          <w:rFonts w:hint="eastAsia"/>
          <w:color w:val="000000"/>
          <w:szCs w:val="21"/>
          <w:highlight w:val="none"/>
        </w:rPr>
        <w:t>（四）</w:t>
      </w:r>
      <w:r>
        <w:rPr>
          <w:rFonts w:hint="eastAsia" w:ascii="宋体" w:hAnsi="宋体"/>
          <w:color w:val="000000"/>
          <w:highlight w:val="none"/>
        </w:rPr>
        <w:t>委托人工作人员及其配偶、子女不得从事与委托人工程有关的材料设备供应、工程分包、劳务等经济活动等。</w:t>
      </w:r>
    </w:p>
    <w:p w14:paraId="52D3844B">
      <w:pPr>
        <w:spacing w:line="440" w:lineRule="exact"/>
        <w:ind w:firstLine="359" w:firstLineChars="171"/>
        <w:rPr>
          <w:rFonts w:ascii="宋体" w:hAnsi="宋体"/>
          <w:color w:val="000000"/>
          <w:highlight w:val="none"/>
        </w:rPr>
      </w:pPr>
      <w:r>
        <w:rPr>
          <w:rFonts w:hint="eastAsia" w:ascii="宋体" w:hAnsi="宋体"/>
          <w:color w:val="000000"/>
          <w:highlight w:val="none"/>
        </w:rPr>
        <w:t>（5）委托人及其工作人员不得以任何理由向受托人推荐分包单位或推销材料，不得要求受托人购买合同规定外的材料和设备。</w:t>
      </w:r>
    </w:p>
    <w:p w14:paraId="2DBF16A7">
      <w:pPr>
        <w:spacing w:line="440" w:lineRule="exact"/>
        <w:ind w:firstLine="359" w:firstLineChars="171"/>
        <w:rPr>
          <w:rFonts w:ascii="宋体" w:hAnsi="宋体"/>
          <w:color w:val="000000"/>
          <w:highlight w:val="none"/>
        </w:rPr>
      </w:pPr>
      <w:r>
        <w:rPr>
          <w:rFonts w:hint="eastAsia" w:ascii="宋体" w:hAnsi="宋体"/>
          <w:color w:val="000000"/>
          <w:highlight w:val="none"/>
        </w:rPr>
        <w:t>（6）委托人工作人员要秉公办事，不准营私舞弊，不准利用职权从事各种个人有偿中介活动和安排个人施工队伍。</w:t>
      </w:r>
    </w:p>
    <w:p w14:paraId="3A3DB9EB">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第三条</w:t>
      </w:r>
      <w:r>
        <w:rPr>
          <w:color w:val="000000"/>
          <w:szCs w:val="21"/>
          <w:highlight w:val="none"/>
        </w:rPr>
        <w:t xml:space="preserve">  </w:t>
      </w:r>
      <w:r>
        <w:rPr>
          <w:rFonts w:hint="eastAsia"/>
          <w:color w:val="000000"/>
          <w:szCs w:val="21"/>
          <w:highlight w:val="none"/>
        </w:rPr>
        <w:t>受托人义务</w:t>
      </w:r>
    </w:p>
    <w:p w14:paraId="0A8C0DF8">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（一）受托人不得以任何理由向委托人及其工作人员行贿或馈赠礼金、有价证券、贵重礼品。</w:t>
      </w:r>
    </w:p>
    <w:p w14:paraId="29760D21">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（二）受托人不得以任何名义为委托人及其工作人员报销应由委托人单位或个人支付的任何费用。</w:t>
      </w:r>
    </w:p>
    <w:p w14:paraId="187D61F5">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（三）受托人不得以任何理由安排委托人工作人员参加宴请及娱乐活动。</w:t>
      </w:r>
    </w:p>
    <w:p w14:paraId="22F3FD3E">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（四）受托人不得为委托人单位和个人购置或提供通讯工具、交通工具和办公用品等。</w:t>
      </w:r>
    </w:p>
    <w:p w14:paraId="1FDE2C23">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（五）受托人不应接受委托审计合同约定以外的与本合同审计工作有关的任何报酬。</w:t>
      </w:r>
    </w:p>
    <w:p w14:paraId="4AA31B99">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（六）受托人不得参与合同规定的与委托人人利益相冲突的任何活动。</w:t>
      </w:r>
    </w:p>
    <w:p w14:paraId="6774DAE7">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第四条</w:t>
      </w:r>
      <w:r>
        <w:rPr>
          <w:color w:val="000000"/>
          <w:szCs w:val="21"/>
          <w:highlight w:val="none"/>
        </w:rPr>
        <w:t xml:space="preserve">  </w:t>
      </w:r>
      <w:r>
        <w:rPr>
          <w:rFonts w:hint="eastAsia"/>
          <w:color w:val="000000"/>
          <w:szCs w:val="21"/>
          <w:highlight w:val="none"/>
        </w:rPr>
        <w:t>违约责任</w:t>
      </w:r>
    </w:p>
    <w:p w14:paraId="3193F0A6">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（一）委托人及其工作人员违反本合同第一、二条，按管理权限，依据有关规定给予党纪、政纪或组织处理；涉嫌犯罪的，移交司法机关追究刑事责任；给受托人单位造成经济损失的，应予以赔偿。</w:t>
      </w:r>
    </w:p>
    <w:p w14:paraId="04C7BBE9">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（二）受托人及其工作人员违反本合同第一、三条，按管理权限，依据有关规定，给予党纪、政纪或组织处理；给委托人单位造成经济损失的，应予以赔偿；</w:t>
      </w:r>
      <w:r>
        <w:rPr>
          <w:rFonts w:hint="eastAsia" w:ascii="宋体" w:hAnsi="宋体"/>
          <w:color w:val="000000"/>
          <w:highlight w:val="none"/>
        </w:rPr>
        <w:t>并按照违纪违法认定金额的双倍承担违约金。合同款项未完全支付的，违约金在支付时予以扣减；合同款已支付承包人或未支付款不足以支付违约金的，承包人另行支付违约金。</w:t>
      </w:r>
      <w:r>
        <w:rPr>
          <w:rFonts w:hint="eastAsia"/>
          <w:color w:val="000000"/>
          <w:szCs w:val="21"/>
          <w:highlight w:val="none"/>
        </w:rPr>
        <w:t>情节严重的，委托人建议建设主管部门给予受托人一至三年内不得进入其主管的交通工程建设市场的处罚。</w:t>
      </w:r>
    </w:p>
    <w:p w14:paraId="1A38B9F5">
      <w:pPr>
        <w:adjustRightInd w:val="0"/>
        <w:snapToGrid w:val="0"/>
        <w:spacing w:before="36" w:beforeLines="15" w:after="36" w:afterLines="15" w:line="400" w:lineRule="exact"/>
        <w:ind w:firstLine="420" w:firstLineChars="200"/>
        <w:rPr>
          <w:rFonts w:ascii="宋体" w:hAnsi="宋体" w:cs="宋体"/>
          <w:color w:val="000000"/>
          <w:kern w:val="0"/>
          <w:szCs w:val="21"/>
          <w:highlight w:val="none"/>
        </w:rPr>
      </w:pPr>
      <w:r>
        <w:rPr>
          <w:rFonts w:hint="eastAsia"/>
          <w:color w:val="000000"/>
          <w:szCs w:val="21"/>
          <w:highlight w:val="none"/>
        </w:rPr>
        <w:t>第五条</w:t>
      </w:r>
      <w:r>
        <w:rPr>
          <w:color w:val="000000"/>
          <w:szCs w:val="21"/>
          <w:highlight w:val="none"/>
        </w:rPr>
        <w:t xml:space="preserve">  </w:t>
      </w:r>
      <w:r>
        <w:rPr>
          <w:rFonts w:hint="eastAsia"/>
          <w:color w:val="000000"/>
          <w:szCs w:val="21"/>
          <w:highlight w:val="none"/>
        </w:rPr>
        <w:t>本合同有效期为委托人、受托人双方签署之日起至</w:t>
      </w:r>
      <w:r>
        <w:rPr>
          <w:rFonts w:hint="eastAsia" w:ascii="宋体" w:hAnsi="宋体" w:cs="宋体"/>
          <w:color w:val="000000"/>
          <w:kern w:val="0"/>
          <w:szCs w:val="21"/>
          <w:highlight w:val="none"/>
        </w:rPr>
        <w:t>对应的</w:t>
      </w:r>
      <w:r>
        <w:rPr>
          <w:rFonts w:hint="eastAsia"/>
          <w:color w:val="000000"/>
          <w:szCs w:val="21"/>
          <w:highlight w:val="none"/>
        </w:rPr>
        <w:t>施工</w:t>
      </w:r>
      <w:r>
        <w:rPr>
          <w:rFonts w:hint="eastAsia" w:ascii="宋体" w:hAnsi="宋体" w:cs="宋体"/>
          <w:color w:val="000000"/>
          <w:kern w:val="0"/>
          <w:szCs w:val="21"/>
          <w:highlight w:val="none"/>
        </w:rPr>
        <w:t>标段合同签订后</w:t>
      </w:r>
      <w:r>
        <w:rPr>
          <w:rFonts w:ascii="宋体" w:hAnsi="宋体" w:cs="宋体"/>
          <w:color w:val="000000"/>
          <w:kern w:val="0"/>
          <w:szCs w:val="21"/>
          <w:highlight w:val="none"/>
        </w:rPr>
        <w:t xml:space="preserve">终结。 </w:t>
      </w:r>
    </w:p>
    <w:p w14:paraId="7BA61B53">
      <w:pPr>
        <w:adjustRightInd w:val="0"/>
        <w:snapToGrid w:val="0"/>
        <w:spacing w:before="36" w:beforeLines="15" w:after="36" w:afterLines="15" w:line="400" w:lineRule="exact"/>
        <w:ind w:firstLine="420" w:firstLineChars="200"/>
        <w:rPr>
          <w:rFonts w:ascii="宋体" w:hAnsi="宋体" w:cs="宋体"/>
          <w:b/>
          <w:color w:val="000000"/>
          <w:kern w:val="0"/>
          <w:szCs w:val="21"/>
          <w:highlight w:val="none"/>
          <w:u w:val="single"/>
        </w:rPr>
      </w:pPr>
      <w:r>
        <w:rPr>
          <w:rFonts w:hint="eastAsia"/>
          <w:color w:val="000000"/>
          <w:szCs w:val="21"/>
          <w:highlight w:val="none"/>
        </w:rPr>
        <w:t>第六条  本合同作为</w:t>
      </w:r>
      <w:r>
        <w:rPr>
          <w:rFonts w:hint="eastAsia" w:ascii="宋体" w:hAnsi="宋体" w:cs="宋体"/>
          <w:b/>
          <w:color w:val="000000"/>
          <w:kern w:val="0"/>
          <w:szCs w:val="21"/>
          <w:highlight w:val="none"/>
          <w:u w:val="single"/>
        </w:rPr>
        <w:t xml:space="preserve">                           </w:t>
      </w:r>
      <w:r>
        <w:rPr>
          <w:rFonts w:hint="eastAsia"/>
          <w:color w:val="000000"/>
          <w:szCs w:val="21"/>
          <w:highlight w:val="none"/>
        </w:rPr>
        <w:t>咨询服务合同的附件，与咨询服务合同具有同等的法律效力，经合同双方签署立即生效。</w:t>
      </w:r>
    </w:p>
    <w:p w14:paraId="0FFB6B06">
      <w:pPr>
        <w:adjustRightInd w:val="0"/>
        <w:snapToGrid w:val="0"/>
        <w:spacing w:before="36" w:beforeLines="15" w:after="36" w:afterLines="15" w:line="400" w:lineRule="exact"/>
        <w:ind w:firstLine="420" w:firstLineChars="200"/>
        <w:rPr>
          <w:color w:val="000000"/>
          <w:szCs w:val="21"/>
          <w:highlight w:val="none"/>
        </w:rPr>
      </w:pPr>
      <w:r>
        <w:rPr>
          <w:rFonts w:hint="eastAsia"/>
          <w:color w:val="000000"/>
          <w:szCs w:val="21"/>
          <w:highlight w:val="none"/>
        </w:rPr>
        <w:t>第七条</w:t>
      </w:r>
      <w:r>
        <w:rPr>
          <w:color w:val="000000"/>
          <w:szCs w:val="21"/>
          <w:highlight w:val="none"/>
        </w:rPr>
        <w:t xml:space="preserve">  </w:t>
      </w:r>
      <w:r>
        <w:rPr>
          <w:rFonts w:hint="eastAsia"/>
          <w:color w:val="000000"/>
          <w:szCs w:val="21"/>
          <w:highlight w:val="none"/>
        </w:rPr>
        <w:t>本合同共陆份，双方各执叁份。</w:t>
      </w:r>
    </w:p>
    <w:p w14:paraId="02CE4FED">
      <w:pPr>
        <w:adjustRightInd w:val="0"/>
        <w:snapToGrid w:val="0"/>
        <w:spacing w:before="36" w:beforeLines="15" w:after="36" w:afterLines="15" w:line="480" w:lineRule="exact"/>
        <w:ind w:firstLine="420" w:firstLineChars="200"/>
        <w:rPr>
          <w:color w:val="000000"/>
          <w:szCs w:val="21"/>
          <w:highlight w:val="none"/>
        </w:rPr>
      </w:pPr>
    </w:p>
    <w:p w14:paraId="2A7250AD">
      <w:pPr>
        <w:autoSpaceDE w:val="0"/>
        <w:autoSpaceDN w:val="0"/>
        <w:adjustRightInd w:val="0"/>
        <w:spacing w:line="400" w:lineRule="exact"/>
        <w:ind w:firstLine="420" w:firstLineChars="200"/>
        <w:jc w:val="left"/>
        <w:rPr>
          <w:rFonts w:hint="eastAsia" w:ascii="宋体" w:hAnsi="宋体" w:cs="宋体"/>
          <w:kern w:val="0"/>
          <w:position w:val="-3"/>
          <w:highlight w:val="none"/>
        </w:rPr>
      </w:pPr>
      <w:r>
        <w:rPr>
          <w:rFonts w:hint="eastAsia" w:ascii="宋体" w:hAnsi="宋体" w:cs="宋体"/>
          <w:kern w:val="0"/>
          <w:position w:val="-3"/>
          <w:highlight w:val="none"/>
        </w:rPr>
        <w:t>发包人：</w:t>
      </w:r>
      <w:r>
        <w:rPr>
          <w:rFonts w:ascii="宋体" w:hAnsi="宋体" w:cs="宋体"/>
          <w:kern w:val="0"/>
          <w:position w:val="-3"/>
          <w:highlight w:val="none"/>
          <w:u w:val="single"/>
        </w:rPr>
        <w:t xml:space="preserve"> </w:t>
      </w:r>
      <w:r>
        <w:rPr>
          <w:rFonts w:hint="eastAsia" w:ascii="宋体" w:hAnsi="宋体" w:cs="宋体"/>
          <w:kern w:val="0"/>
          <w:position w:val="-3"/>
          <w:highlight w:val="none"/>
          <w:u w:val="single"/>
        </w:rPr>
        <w:t xml:space="preserve">                 </w:t>
      </w:r>
      <w:r>
        <w:rPr>
          <w:rFonts w:hint="eastAsia" w:ascii="宋体" w:hAnsi="宋体" w:cs="宋体"/>
          <w:kern w:val="0"/>
          <w:position w:val="-3"/>
          <w:highlight w:val="none"/>
        </w:rPr>
        <w:t>（盖单位章）</w:t>
      </w:r>
      <w:r>
        <w:rPr>
          <w:rFonts w:ascii="宋体" w:hAnsi="宋体" w:cs="宋体"/>
          <w:kern w:val="0"/>
          <w:position w:val="-3"/>
          <w:highlight w:val="none"/>
        </w:rPr>
        <w:t xml:space="preserve"> </w:t>
      </w:r>
      <w:r>
        <w:rPr>
          <w:rFonts w:hint="eastAsia" w:ascii="宋体" w:hAnsi="宋体" w:cs="宋体"/>
          <w:kern w:val="0"/>
          <w:position w:val="-3"/>
          <w:highlight w:val="none"/>
        </w:rPr>
        <w:t xml:space="preserve">  </w:t>
      </w:r>
      <w:r>
        <w:rPr>
          <w:rFonts w:ascii="宋体" w:hAnsi="宋体" w:cs="宋体"/>
          <w:kern w:val="0"/>
          <w:position w:val="-3"/>
          <w:highlight w:val="none"/>
        </w:rPr>
        <w:tab/>
      </w:r>
      <w:r>
        <w:rPr>
          <w:rFonts w:hint="eastAsia" w:ascii="宋体" w:hAnsi="宋体" w:cs="宋体"/>
          <w:kern w:val="0"/>
          <w:position w:val="-3"/>
          <w:highlight w:val="none"/>
        </w:rPr>
        <w:t xml:space="preserve"> 设计人：</w:t>
      </w:r>
      <w:r>
        <w:rPr>
          <w:rFonts w:ascii="宋体" w:hAnsi="宋体" w:cs="宋体"/>
          <w:kern w:val="0"/>
          <w:position w:val="-3"/>
          <w:highlight w:val="none"/>
          <w:u w:val="single"/>
        </w:rPr>
        <w:t xml:space="preserve"> </w:t>
      </w:r>
      <w:r>
        <w:rPr>
          <w:rFonts w:hint="eastAsia" w:ascii="宋体" w:hAnsi="宋体" w:cs="宋体"/>
          <w:kern w:val="0"/>
          <w:position w:val="-3"/>
          <w:highlight w:val="none"/>
          <w:u w:val="single"/>
        </w:rPr>
        <w:t xml:space="preserve">              </w:t>
      </w:r>
      <w:r>
        <w:rPr>
          <w:rFonts w:ascii="宋体" w:hAnsi="宋体" w:cs="宋体"/>
          <w:kern w:val="0"/>
          <w:position w:val="-3"/>
          <w:highlight w:val="none"/>
          <w:u w:val="single"/>
        </w:rPr>
        <w:t xml:space="preserve">  </w:t>
      </w:r>
      <w:r>
        <w:rPr>
          <w:rFonts w:hint="eastAsia" w:ascii="宋体" w:hAnsi="宋体" w:cs="宋体"/>
          <w:kern w:val="0"/>
          <w:position w:val="-3"/>
          <w:highlight w:val="none"/>
        </w:rPr>
        <w:t>（盖单位章）</w:t>
      </w:r>
      <w:r>
        <w:rPr>
          <w:rFonts w:ascii="宋体" w:hAnsi="宋体" w:cs="宋体"/>
          <w:kern w:val="0"/>
          <w:position w:val="-3"/>
          <w:highlight w:val="none"/>
        </w:rPr>
        <w:t xml:space="preserve"> </w:t>
      </w:r>
    </w:p>
    <w:p w14:paraId="2AB6AE84">
      <w:pPr>
        <w:autoSpaceDE w:val="0"/>
        <w:autoSpaceDN w:val="0"/>
        <w:adjustRightInd w:val="0"/>
        <w:spacing w:line="400" w:lineRule="exact"/>
        <w:ind w:firstLine="420" w:firstLineChars="200"/>
        <w:jc w:val="left"/>
        <w:rPr>
          <w:rFonts w:hint="eastAsia" w:ascii="宋体" w:hAnsi="宋体" w:cs="宋体"/>
          <w:kern w:val="0"/>
          <w:position w:val="-3"/>
          <w:highlight w:val="none"/>
        </w:rPr>
      </w:pPr>
      <w:r>
        <w:rPr>
          <w:rFonts w:hint="eastAsia" w:ascii="宋体" w:hAnsi="宋体" w:cs="宋体"/>
          <w:kern w:val="0"/>
          <w:position w:val="-3"/>
          <w:highlight w:val="none"/>
        </w:rPr>
        <w:t>法定代表人或其委托代理人：</w:t>
      </w:r>
      <w:r>
        <w:rPr>
          <w:rFonts w:hint="eastAsia" w:ascii="宋体" w:hAnsi="宋体" w:cs="宋体"/>
          <w:kern w:val="0"/>
          <w:position w:val="-3"/>
          <w:highlight w:val="none"/>
          <w:u w:val="single"/>
        </w:rPr>
        <w:t xml:space="preserve">    </w:t>
      </w:r>
      <w:r>
        <w:rPr>
          <w:rFonts w:hint="eastAsia" w:ascii="宋体" w:hAnsi="宋体" w:cs="宋体"/>
          <w:kern w:val="0"/>
          <w:position w:val="-3"/>
          <w:highlight w:val="none"/>
        </w:rPr>
        <w:t>（签字）       法定代表人或其委托代理人：</w:t>
      </w:r>
      <w:r>
        <w:rPr>
          <w:rFonts w:hint="eastAsia" w:ascii="宋体" w:hAnsi="宋体" w:cs="宋体"/>
          <w:kern w:val="0"/>
          <w:position w:val="-3"/>
          <w:highlight w:val="none"/>
          <w:u w:val="single"/>
        </w:rPr>
        <w:t xml:space="preserve">   </w:t>
      </w:r>
      <w:r>
        <w:rPr>
          <w:rFonts w:hint="eastAsia" w:ascii="宋体" w:hAnsi="宋体" w:cs="宋体"/>
          <w:kern w:val="0"/>
          <w:position w:val="-3"/>
          <w:highlight w:val="none"/>
        </w:rPr>
        <w:t>（签字）</w:t>
      </w:r>
    </w:p>
    <w:p w14:paraId="51D9010B">
      <w:pPr>
        <w:autoSpaceDE w:val="0"/>
        <w:autoSpaceDN w:val="0"/>
        <w:adjustRightInd w:val="0"/>
        <w:spacing w:line="400" w:lineRule="exact"/>
        <w:ind w:firstLine="420" w:firstLineChars="200"/>
        <w:jc w:val="left"/>
        <w:rPr>
          <w:rFonts w:hint="eastAsia" w:ascii="宋体" w:hAnsi="宋体"/>
          <w:highlight w:val="none"/>
        </w:rPr>
      </w:pPr>
      <w:r>
        <w:rPr>
          <w:rFonts w:hint="eastAsia" w:ascii="宋体" w:hAnsi="宋体"/>
          <w:highlight w:val="none"/>
          <w:u w:val="none"/>
          <w:lang w:val="en-US" w:eastAsia="zh-CN"/>
        </w:rPr>
        <w:t>日期：</w:t>
      </w:r>
      <w:r>
        <w:rPr>
          <w:rFonts w:hint="eastAsia" w:ascii="宋体" w:hAnsi="宋体"/>
          <w:highlight w:val="none"/>
          <w:u w:val="single"/>
          <w:lang w:val="en-US" w:eastAsia="zh-CN"/>
        </w:rPr>
        <w:t xml:space="preserve">    </w:t>
      </w:r>
      <w:r>
        <w:rPr>
          <w:rFonts w:ascii="宋体" w:hAnsi="宋体"/>
          <w:highlight w:val="none"/>
        </w:rPr>
        <w:t>年</w:t>
      </w:r>
      <w:r>
        <w:rPr>
          <w:rFonts w:hint="eastAsia" w:ascii="宋体" w:hAnsi="宋体"/>
          <w:highlight w:val="none"/>
          <w:u w:val="single"/>
          <w:lang w:val="en-US" w:eastAsia="zh-CN"/>
        </w:rPr>
        <w:t xml:space="preserve">  </w:t>
      </w:r>
      <w:r>
        <w:rPr>
          <w:rFonts w:ascii="宋体" w:hAnsi="宋体"/>
          <w:highlight w:val="none"/>
        </w:rPr>
        <w:t>月</w:t>
      </w:r>
      <w:r>
        <w:rPr>
          <w:rFonts w:hint="eastAsia" w:ascii="宋体" w:hAnsi="宋体"/>
          <w:highlight w:val="none"/>
          <w:u w:val="single"/>
          <w:lang w:val="en-US" w:eastAsia="zh-CN"/>
        </w:rPr>
        <w:t xml:space="preserve">  </w:t>
      </w:r>
      <w:r>
        <w:rPr>
          <w:rFonts w:ascii="宋体" w:hAnsi="宋体"/>
          <w:highlight w:val="none"/>
        </w:rPr>
        <w:t>日</w:t>
      </w:r>
    </w:p>
    <w:p w14:paraId="0A2E8CD4">
      <w:pPr>
        <w:spacing w:line="280" w:lineRule="exact"/>
        <w:ind w:firstLine="6248" w:firstLineChars="1945"/>
        <w:rPr>
          <w:rFonts w:ascii="Garamond" w:hAnsi="Garamond"/>
          <w:b/>
          <w:color w:val="000000" w:themeColor="text1"/>
          <w:sz w:val="32"/>
          <w:szCs w:val="32"/>
          <w:highlight w:val="none"/>
          <w14:textFill>
            <w14:solidFill>
              <w14:schemeClr w14:val="tx1"/>
            </w14:solidFill>
          </w14:textFill>
        </w:rPr>
      </w:pPr>
    </w:p>
    <w:p w14:paraId="7319F45B">
      <w:pPr>
        <w:spacing w:line="340" w:lineRule="exact"/>
        <w:jc w:val="right"/>
        <w:rPr>
          <w:rFonts w:ascii="Garamond" w:hAnsi="Garamond"/>
          <w:color w:val="000000" w:themeColor="text1"/>
          <w:sz w:val="24"/>
          <w:highlight w:val="none"/>
          <w14:textFill>
            <w14:solidFill>
              <w14:schemeClr w14:val="tx1"/>
            </w14:solidFill>
          </w14:textFill>
        </w:rPr>
      </w:pPr>
    </w:p>
    <w:p w14:paraId="0C020424">
      <w:pPr>
        <w:spacing w:line="340" w:lineRule="exact"/>
        <w:jc w:val="right"/>
        <w:rPr>
          <w:rFonts w:ascii="Garamond" w:hAnsi="Garamond"/>
          <w:color w:val="000000" w:themeColor="text1"/>
          <w:sz w:val="24"/>
          <w:highlight w:val="none"/>
          <w14:textFill>
            <w14:solidFill>
              <w14:schemeClr w14:val="tx1"/>
            </w14:solidFill>
          </w14:textFill>
        </w:rPr>
      </w:pPr>
    </w:p>
    <w:p w14:paraId="6E230C2E">
      <w:pPr>
        <w:spacing w:line="340" w:lineRule="exact"/>
        <w:jc w:val="right"/>
        <w:rPr>
          <w:rFonts w:ascii="Garamond" w:hAnsi="Garamond"/>
          <w:color w:val="000000" w:themeColor="text1"/>
          <w:sz w:val="24"/>
          <w:highlight w:val="none"/>
          <w14:textFill>
            <w14:solidFill>
              <w14:schemeClr w14:val="tx1"/>
            </w14:solidFill>
          </w14:textFill>
        </w:rPr>
      </w:pPr>
    </w:p>
    <w:p w14:paraId="52B3A080">
      <w:pPr>
        <w:spacing w:line="340" w:lineRule="exact"/>
        <w:jc w:val="right"/>
        <w:rPr>
          <w:rFonts w:ascii="Garamond" w:hAnsi="Garamond"/>
          <w:color w:val="000000" w:themeColor="text1"/>
          <w:sz w:val="24"/>
          <w:highlight w:val="none"/>
          <w14:textFill>
            <w14:solidFill>
              <w14:schemeClr w14:val="tx1"/>
            </w14:solidFill>
          </w14:textFill>
        </w:rPr>
      </w:pPr>
    </w:p>
    <w:p w14:paraId="470BDD06">
      <w:pPr>
        <w:spacing w:line="340" w:lineRule="exact"/>
        <w:jc w:val="right"/>
        <w:rPr>
          <w:rFonts w:ascii="Garamond" w:hAnsi="Garamond"/>
          <w:color w:val="000000" w:themeColor="text1"/>
          <w:sz w:val="24"/>
          <w:highlight w:val="none"/>
          <w14:textFill>
            <w14:solidFill>
              <w14:schemeClr w14:val="tx1"/>
            </w14:solidFill>
          </w14:textFill>
        </w:rPr>
      </w:pPr>
    </w:p>
    <w:p w14:paraId="2DF92956">
      <w:pPr>
        <w:spacing w:line="340" w:lineRule="exact"/>
        <w:jc w:val="right"/>
        <w:rPr>
          <w:rFonts w:ascii="Garamond" w:hAnsi="Garamond"/>
          <w:color w:val="000000" w:themeColor="text1"/>
          <w:sz w:val="24"/>
          <w:highlight w:val="none"/>
          <w14:textFill>
            <w14:solidFill>
              <w14:schemeClr w14:val="tx1"/>
            </w14:solidFill>
          </w14:textFill>
        </w:rPr>
      </w:pPr>
    </w:p>
    <w:p w14:paraId="200940DC">
      <w:pPr>
        <w:spacing w:line="340" w:lineRule="exact"/>
        <w:jc w:val="right"/>
        <w:rPr>
          <w:rFonts w:ascii="Garamond" w:hAnsi="Garamond"/>
          <w:color w:val="000000" w:themeColor="text1"/>
          <w:sz w:val="24"/>
          <w:highlight w:val="none"/>
          <w14:textFill>
            <w14:solidFill>
              <w14:schemeClr w14:val="tx1"/>
            </w14:solidFill>
          </w14:textFill>
        </w:rPr>
      </w:pPr>
    </w:p>
    <w:p w14:paraId="460C717D">
      <w:pPr>
        <w:spacing w:line="340" w:lineRule="exact"/>
        <w:jc w:val="right"/>
        <w:rPr>
          <w:rFonts w:ascii="Garamond" w:hAnsi="Garamond"/>
          <w:color w:val="000000" w:themeColor="text1"/>
          <w:sz w:val="24"/>
          <w:highlight w:val="none"/>
          <w14:textFill>
            <w14:solidFill>
              <w14:schemeClr w14:val="tx1"/>
            </w14:solidFill>
          </w14:textFill>
        </w:rPr>
      </w:pPr>
    </w:p>
    <w:p w14:paraId="07CDEF94">
      <w:pPr>
        <w:spacing w:line="340" w:lineRule="exact"/>
        <w:jc w:val="right"/>
        <w:rPr>
          <w:rFonts w:ascii="Garamond" w:hAnsi="Garamond"/>
          <w:color w:val="000000" w:themeColor="text1"/>
          <w:sz w:val="24"/>
          <w:highlight w:val="none"/>
          <w14:textFill>
            <w14:solidFill>
              <w14:schemeClr w14:val="tx1"/>
            </w14:solidFill>
          </w14:textFill>
        </w:rPr>
      </w:pPr>
    </w:p>
    <w:p w14:paraId="049D6B49">
      <w:pPr>
        <w:spacing w:line="740" w:lineRule="exact"/>
        <w:jc w:val="center"/>
        <w:outlineLvl w:val="0"/>
        <w:rPr>
          <w:rFonts w:ascii="Garamond" w:hAnsi="Garamond"/>
          <w:b/>
          <w:color w:val="000000" w:themeColor="text1"/>
          <w:sz w:val="72"/>
          <w:szCs w:val="72"/>
          <w:highlight w:val="none"/>
          <w14:textFill>
            <w14:solidFill>
              <w14:schemeClr w14:val="tx1"/>
            </w14:solidFill>
          </w14:textFill>
        </w:rPr>
        <w:sectPr>
          <w:pgSz w:w="11906" w:h="16838"/>
          <w:pgMar w:top="1417" w:right="1247" w:bottom="1417" w:left="1417" w:header="851" w:footer="680" w:gutter="0"/>
          <w:pgNumType w:fmt="decimal"/>
          <w:cols w:space="0" w:num="1"/>
          <w:docGrid w:linePitch="312" w:charSpace="0"/>
        </w:sectPr>
      </w:pPr>
      <w:bookmarkStart w:id="79" w:name="_Toc353197102"/>
    </w:p>
    <w:p w14:paraId="49B04C15">
      <w:pPr>
        <w:spacing w:line="740" w:lineRule="exact"/>
        <w:jc w:val="center"/>
        <w:outlineLvl w:val="0"/>
        <w:rPr>
          <w:rFonts w:ascii="Garamond" w:hAnsi="Garamond"/>
          <w:b/>
          <w:color w:val="000000" w:themeColor="text1"/>
          <w:sz w:val="72"/>
          <w:szCs w:val="72"/>
          <w:highlight w:val="none"/>
          <w14:textFill>
            <w14:solidFill>
              <w14:schemeClr w14:val="tx1"/>
            </w14:solidFill>
          </w14:textFill>
        </w:rPr>
      </w:pPr>
      <w:r>
        <w:rPr>
          <w:rFonts w:ascii="Garamond" w:hAnsi="Garamond"/>
          <w:b/>
          <w:color w:val="000000" w:themeColor="text1"/>
          <w:sz w:val="72"/>
          <w:szCs w:val="72"/>
          <w:highlight w:val="none"/>
          <w14:textFill>
            <w14:solidFill>
              <w14:schemeClr w14:val="tx1"/>
            </w14:solidFill>
          </w14:textFill>
        </w:rPr>
        <w:t>第 二 卷</w:t>
      </w:r>
      <w:bookmarkEnd w:id="79"/>
    </w:p>
    <w:p w14:paraId="2436E319">
      <w:pPr>
        <w:spacing w:line="1100" w:lineRule="exact"/>
        <w:jc w:val="center"/>
        <w:rPr>
          <w:rFonts w:ascii="Garamond" w:hAnsi="Garamond"/>
          <w:b/>
          <w:color w:val="000000" w:themeColor="text1"/>
          <w:sz w:val="52"/>
          <w:szCs w:val="52"/>
          <w:highlight w:val="none"/>
          <w14:textFill>
            <w14:solidFill>
              <w14:schemeClr w14:val="tx1"/>
            </w14:solidFill>
          </w14:textFill>
        </w:rPr>
      </w:pPr>
    </w:p>
    <w:p w14:paraId="4F16D164">
      <w:pPr>
        <w:jc w:val="center"/>
        <w:rPr>
          <w:rFonts w:ascii="Garamond" w:hAnsi="Garamond"/>
          <w:b/>
          <w:color w:val="000000" w:themeColor="text1"/>
          <w:sz w:val="32"/>
          <w:szCs w:val="32"/>
          <w:highlight w:val="none"/>
          <w14:textFill>
            <w14:solidFill>
              <w14:schemeClr w14:val="tx1"/>
            </w14:solidFill>
          </w14:textFill>
        </w:rPr>
      </w:pPr>
    </w:p>
    <w:p w14:paraId="2B882AA7">
      <w:pPr>
        <w:spacing w:line="1100" w:lineRule="exact"/>
        <w:jc w:val="center"/>
        <w:rPr>
          <w:rFonts w:ascii="Garamond" w:hAnsi="Garamond"/>
          <w:b/>
          <w:color w:val="000000" w:themeColor="text1"/>
          <w:sz w:val="52"/>
          <w:szCs w:val="52"/>
          <w:highlight w:val="none"/>
          <w14:textFill>
            <w14:solidFill>
              <w14:schemeClr w14:val="tx1"/>
            </w14:solidFill>
          </w14:textFill>
        </w:rPr>
      </w:pPr>
    </w:p>
    <w:p w14:paraId="36DBB21F">
      <w:pPr>
        <w:spacing w:line="1100" w:lineRule="exact"/>
        <w:jc w:val="center"/>
        <w:rPr>
          <w:rFonts w:ascii="Garamond" w:hAnsi="Garamond"/>
          <w:b/>
          <w:color w:val="000000" w:themeColor="text1"/>
          <w:sz w:val="52"/>
          <w:szCs w:val="52"/>
          <w:highlight w:val="none"/>
          <w14:textFill>
            <w14:solidFill>
              <w14:schemeClr w14:val="tx1"/>
            </w14:solidFill>
          </w14:textFill>
        </w:rPr>
      </w:pPr>
    </w:p>
    <w:p w14:paraId="48D04224">
      <w:pPr>
        <w:spacing w:line="1100" w:lineRule="exact"/>
        <w:jc w:val="center"/>
        <w:rPr>
          <w:rFonts w:ascii="Garamond" w:hAnsi="Garamond"/>
          <w:b/>
          <w:color w:val="000000" w:themeColor="text1"/>
          <w:sz w:val="52"/>
          <w:szCs w:val="52"/>
          <w:highlight w:val="none"/>
          <w14:textFill>
            <w14:solidFill>
              <w14:schemeClr w14:val="tx1"/>
            </w14:solidFill>
          </w14:textFill>
        </w:rPr>
      </w:pPr>
    </w:p>
    <w:p w14:paraId="59FAE8A9">
      <w:pPr>
        <w:spacing w:line="1100" w:lineRule="exact"/>
        <w:jc w:val="center"/>
        <w:rPr>
          <w:rFonts w:ascii="Garamond" w:hAnsi="Garamond"/>
          <w:b/>
          <w:color w:val="000000" w:themeColor="text1"/>
          <w:sz w:val="52"/>
          <w:szCs w:val="52"/>
          <w:highlight w:val="none"/>
          <w14:textFill>
            <w14:solidFill>
              <w14:schemeClr w14:val="tx1"/>
            </w14:solidFill>
          </w14:textFill>
        </w:rPr>
      </w:pPr>
    </w:p>
    <w:p w14:paraId="5A81D41C">
      <w:pPr>
        <w:spacing w:line="1100" w:lineRule="exact"/>
        <w:jc w:val="center"/>
        <w:rPr>
          <w:rFonts w:ascii="Garamond" w:hAnsi="Garamond"/>
          <w:b/>
          <w:color w:val="000000" w:themeColor="text1"/>
          <w:sz w:val="52"/>
          <w:szCs w:val="52"/>
          <w:highlight w:val="none"/>
          <w14:textFill>
            <w14:solidFill>
              <w14:schemeClr w14:val="tx1"/>
            </w14:solidFill>
          </w14:textFill>
        </w:rPr>
      </w:pPr>
    </w:p>
    <w:p w14:paraId="4084442F">
      <w:pPr>
        <w:spacing w:line="1100" w:lineRule="exact"/>
        <w:jc w:val="center"/>
        <w:rPr>
          <w:rFonts w:ascii="Garamond" w:hAnsi="Garamond"/>
          <w:b/>
          <w:color w:val="000000" w:themeColor="text1"/>
          <w:sz w:val="52"/>
          <w:szCs w:val="52"/>
          <w:highlight w:val="none"/>
          <w14:textFill>
            <w14:solidFill>
              <w14:schemeClr w14:val="tx1"/>
            </w14:solidFill>
          </w14:textFill>
        </w:rPr>
      </w:pPr>
    </w:p>
    <w:p w14:paraId="02571738">
      <w:pPr>
        <w:spacing w:line="340" w:lineRule="exact"/>
        <w:jc w:val="right"/>
        <w:rPr>
          <w:rFonts w:ascii="Garamond" w:hAnsi="Garamond"/>
          <w:color w:val="000000" w:themeColor="text1"/>
          <w:sz w:val="24"/>
          <w:highlight w:val="none"/>
          <w14:textFill>
            <w14:solidFill>
              <w14:schemeClr w14:val="tx1"/>
            </w14:solidFill>
          </w14:textFill>
        </w:rPr>
      </w:pPr>
    </w:p>
    <w:p w14:paraId="354734D4">
      <w:pPr>
        <w:spacing w:line="340" w:lineRule="exact"/>
        <w:jc w:val="right"/>
        <w:rPr>
          <w:rFonts w:ascii="Garamond" w:hAnsi="Garamond"/>
          <w:color w:val="000000" w:themeColor="text1"/>
          <w:sz w:val="24"/>
          <w:highlight w:val="none"/>
          <w14:textFill>
            <w14:solidFill>
              <w14:schemeClr w14:val="tx1"/>
            </w14:solidFill>
          </w14:textFill>
        </w:rPr>
      </w:pPr>
    </w:p>
    <w:p w14:paraId="3D7CBE4A">
      <w:pPr>
        <w:spacing w:line="340" w:lineRule="exact"/>
        <w:jc w:val="right"/>
        <w:rPr>
          <w:rFonts w:ascii="Garamond" w:hAnsi="Garamond"/>
          <w:color w:val="000000" w:themeColor="text1"/>
          <w:sz w:val="24"/>
          <w:highlight w:val="none"/>
          <w14:textFill>
            <w14:solidFill>
              <w14:schemeClr w14:val="tx1"/>
            </w14:solidFill>
          </w14:textFill>
        </w:rPr>
      </w:pPr>
    </w:p>
    <w:p w14:paraId="2E1D5946">
      <w:pPr>
        <w:spacing w:line="340" w:lineRule="exact"/>
        <w:jc w:val="right"/>
        <w:rPr>
          <w:rFonts w:ascii="Garamond" w:hAnsi="Garamond"/>
          <w:color w:val="000000" w:themeColor="text1"/>
          <w:sz w:val="24"/>
          <w:highlight w:val="none"/>
          <w14:textFill>
            <w14:solidFill>
              <w14:schemeClr w14:val="tx1"/>
            </w14:solidFill>
          </w14:textFill>
        </w:rPr>
      </w:pPr>
    </w:p>
    <w:p w14:paraId="2291B236">
      <w:pPr>
        <w:spacing w:line="340" w:lineRule="exact"/>
        <w:jc w:val="right"/>
        <w:rPr>
          <w:rFonts w:ascii="Garamond" w:hAnsi="Garamond"/>
          <w:color w:val="000000" w:themeColor="text1"/>
          <w:sz w:val="24"/>
          <w:highlight w:val="none"/>
          <w14:textFill>
            <w14:solidFill>
              <w14:schemeClr w14:val="tx1"/>
            </w14:solidFill>
          </w14:textFill>
        </w:rPr>
      </w:pPr>
    </w:p>
    <w:p w14:paraId="2344FAF1">
      <w:pPr>
        <w:pStyle w:val="3"/>
        <w:numPr>
          <w:ilvl w:val="0"/>
          <w:numId w:val="1"/>
        </w:numPr>
        <w:jc w:val="center"/>
        <w:rPr>
          <w:rFonts w:ascii="Garamond" w:hAnsi="Garamond" w:eastAsia="宋体"/>
          <w:color w:val="000000" w:themeColor="text1"/>
          <w:sz w:val="48"/>
          <w:szCs w:val="48"/>
          <w:highlight w:val="none"/>
          <w14:textFill>
            <w14:solidFill>
              <w14:schemeClr w14:val="tx1"/>
            </w14:solidFill>
          </w14:textFill>
        </w:rPr>
        <w:sectPr>
          <w:pgSz w:w="11906" w:h="16838"/>
          <w:pgMar w:top="1417" w:right="1247" w:bottom="1417" w:left="1417" w:header="851" w:footer="680" w:gutter="0"/>
          <w:pgNumType w:fmt="decimal"/>
          <w:cols w:space="0" w:num="1"/>
          <w:docGrid w:linePitch="312" w:charSpace="0"/>
        </w:sectPr>
      </w:pPr>
      <w:bookmarkStart w:id="80" w:name="_Toc398192785"/>
      <w:bookmarkStart w:id="81" w:name="_Toc353197103"/>
    </w:p>
    <w:p w14:paraId="4CD7A0C3">
      <w:pPr>
        <w:pStyle w:val="3"/>
        <w:numPr>
          <w:ilvl w:val="0"/>
          <w:numId w:val="1"/>
        </w:numPr>
        <w:jc w:val="center"/>
        <w:rPr>
          <w:rFonts w:ascii="Garamond" w:hAnsi="Garamond" w:eastAsia="宋体"/>
          <w:color w:val="000000" w:themeColor="text1"/>
          <w:sz w:val="48"/>
          <w:szCs w:val="48"/>
          <w:highlight w:val="none"/>
          <w14:textFill>
            <w14:solidFill>
              <w14:schemeClr w14:val="tx1"/>
            </w14:solidFill>
          </w14:textFill>
        </w:rPr>
      </w:pPr>
      <w:r>
        <w:rPr>
          <w:rFonts w:ascii="Garamond" w:hAnsi="Garamond" w:eastAsia="宋体"/>
          <w:color w:val="000000" w:themeColor="text1"/>
          <w:sz w:val="48"/>
          <w:szCs w:val="48"/>
          <w:highlight w:val="none"/>
          <w14:textFill>
            <w14:solidFill>
              <w14:schemeClr w14:val="tx1"/>
            </w14:solidFill>
          </w14:textFill>
        </w:rPr>
        <w:t xml:space="preserve"> 工程量清单</w:t>
      </w:r>
      <w:bookmarkEnd w:id="80"/>
    </w:p>
    <w:p w14:paraId="72329EC9">
      <w:pPr>
        <w:spacing w:line="360" w:lineRule="auto"/>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（本项目非清单报价，不提供工程量清单）</w:t>
      </w:r>
    </w:p>
    <w:p w14:paraId="4ED6E32D">
      <w:pPr>
        <w:spacing w:line="360" w:lineRule="auto"/>
        <w:rPr>
          <w:color w:val="000000" w:themeColor="text1"/>
          <w:highlight w:val="none"/>
          <w14:textFill>
            <w14:solidFill>
              <w14:schemeClr w14:val="tx1"/>
            </w14:solidFill>
          </w14:textFill>
        </w:rPr>
      </w:pPr>
    </w:p>
    <w:p w14:paraId="2BA49383">
      <w:pPr>
        <w:rPr>
          <w:rFonts w:ascii="Garamond" w:hAnsi="Garamond"/>
          <w:color w:val="000000" w:themeColor="text1"/>
          <w:sz w:val="24"/>
          <w:szCs w:val="20"/>
          <w:highlight w:val="none"/>
          <w14:textFill>
            <w14:solidFill>
              <w14:schemeClr w14:val="tx1"/>
            </w14:solidFill>
          </w14:textFill>
        </w:rPr>
      </w:pPr>
    </w:p>
    <w:p w14:paraId="5B290C9C">
      <w:pPr>
        <w:pStyle w:val="2"/>
        <w:spacing w:before="120" w:after="120" w:line="600" w:lineRule="exact"/>
        <w:jc w:val="center"/>
        <w:rPr>
          <w:rFonts w:ascii="Garamond" w:hAnsi="Garamond"/>
          <w:color w:val="000000" w:themeColor="text1"/>
          <w:highlight w:val="none"/>
          <w14:textFill>
            <w14:solidFill>
              <w14:schemeClr w14:val="tx1"/>
            </w14:solidFill>
          </w14:textFill>
        </w:rPr>
        <w:sectPr>
          <w:pgSz w:w="11906" w:h="16838"/>
          <w:pgMar w:top="1417" w:right="1247" w:bottom="1417" w:left="1417" w:header="851" w:footer="680" w:gutter="0"/>
          <w:pgNumType w:fmt="decimal"/>
          <w:cols w:space="0" w:num="1"/>
          <w:docGrid w:linePitch="312" w:charSpace="0"/>
        </w:sectPr>
      </w:pPr>
    </w:p>
    <w:p w14:paraId="3541804F">
      <w:pPr>
        <w:pStyle w:val="2"/>
        <w:spacing w:before="120" w:after="120" w:line="600" w:lineRule="exact"/>
        <w:jc w:val="center"/>
        <w:rPr>
          <w:rFonts w:ascii="Garamond" w:hAnsi="Garamond"/>
          <w:color w:val="000000" w:themeColor="text1"/>
          <w:sz w:val="48"/>
          <w:szCs w:val="48"/>
          <w:highlight w:val="none"/>
          <w14:textFill>
            <w14:solidFill>
              <w14:schemeClr w14:val="tx1"/>
            </w14:solidFill>
          </w14:textFill>
        </w:rPr>
      </w:pPr>
      <w:r>
        <w:rPr>
          <w:rFonts w:ascii="Garamond" w:hAnsi="Garamond"/>
          <w:color w:val="000000" w:themeColor="text1"/>
          <w:sz w:val="48"/>
          <w:szCs w:val="48"/>
          <w:highlight w:val="none"/>
          <w14:textFill>
            <w14:solidFill>
              <w14:schemeClr w14:val="tx1"/>
            </w14:solidFill>
          </w14:textFill>
        </w:rPr>
        <w:t>第六章 技术标准和要求</w:t>
      </w:r>
      <w:bookmarkEnd w:id="81"/>
    </w:p>
    <w:p w14:paraId="2B4C6B4C">
      <w:pPr>
        <w:keepNext w:val="0"/>
        <w:keepLines w:val="0"/>
        <w:pageBreakBefore w:val="0"/>
        <w:tabs>
          <w:tab w:val="left" w:pos="1134"/>
        </w:tabs>
        <w:kinsoku/>
        <w:wordWrap/>
        <w:overflowPunct/>
        <w:topLinePunct w:val="0"/>
        <w:bidi w:val="0"/>
        <w:adjustRightInd w:val="0"/>
        <w:snapToGrid w:val="0"/>
        <w:spacing w:line="360" w:lineRule="auto"/>
        <w:ind w:left="0" w:leftChars="0" w:firstLine="0" w:firstLineChars="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委托人要求包括但不限于以下内容：</w:t>
      </w:r>
    </w:p>
    <w:p w14:paraId="5228D8A8">
      <w:pPr>
        <w:keepNext w:val="0"/>
        <w:keepLines w:val="0"/>
        <w:pageBreakBefore w:val="0"/>
        <w:numPr>
          <w:ilvl w:val="0"/>
          <w:numId w:val="2"/>
        </w:numPr>
        <w:tabs>
          <w:tab w:val="left" w:pos="1134"/>
        </w:tabs>
        <w:kinsoku/>
        <w:wordWrap/>
        <w:overflowPunct/>
        <w:topLinePunct w:val="0"/>
        <w:bidi w:val="0"/>
        <w:adjustRightInd w:val="0"/>
        <w:snapToGrid w:val="0"/>
        <w:spacing w:line="360" w:lineRule="auto"/>
        <w:ind w:left="0" w:leftChars="0" w:firstLine="0" w:firstLineChars="0"/>
        <w:jc w:val="both"/>
        <w:textAlignment w:val="auto"/>
        <w:rPr>
          <w:rFonts w:hint="eastAsia" w:ascii="宋体" w:hAnsi="宋体" w:eastAsia="宋体" w:cs="宋体"/>
          <w:b/>
          <w:sz w:val="21"/>
          <w:szCs w:val="21"/>
          <w:highlight w:val="none"/>
        </w:rPr>
      </w:pPr>
      <w:r>
        <w:rPr>
          <w:rFonts w:hint="eastAsia" w:ascii="宋体" w:hAnsi="宋体" w:eastAsia="宋体" w:cs="宋体"/>
          <w:b/>
          <w:sz w:val="21"/>
          <w:szCs w:val="21"/>
          <w:highlight w:val="none"/>
          <w:lang w:val="en-US" w:eastAsia="zh-CN"/>
        </w:rPr>
        <w:t>方案研究</w:t>
      </w:r>
      <w:r>
        <w:rPr>
          <w:rFonts w:hint="eastAsia" w:ascii="宋体" w:hAnsi="宋体" w:eastAsia="宋体" w:cs="宋体"/>
          <w:b/>
          <w:sz w:val="21"/>
          <w:szCs w:val="21"/>
          <w:highlight w:val="none"/>
        </w:rPr>
        <w:t>要求</w:t>
      </w:r>
    </w:p>
    <w:p w14:paraId="35C129B2">
      <w:pPr>
        <w:keepNext w:val="0"/>
        <w:keepLines w:val="0"/>
        <w:pageBreakBefore w:val="0"/>
        <w:tabs>
          <w:tab w:val="left" w:pos="1134"/>
        </w:tabs>
        <w:kinsoku/>
        <w:wordWrap/>
        <w:overflowPunct/>
        <w:topLinePunct w:val="0"/>
        <w:bidi w:val="0"/>
        <w:adjustRightInd w:val="0"/>
        <w:snapToGrid w:val="0"/>
        <w:spacing w:line="360" w:lineRule="auto"/>
        <w:ind w:left="0" w:leftChars="0" w:firstLine="0" w:firstLineChars="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（一）项目概况</w:t>
      </w:r>
    </w:p>
    <w:p w14:paraId="6E437D73">
      <w:pPr>
        <w:keepNext w:val="0"/>
        <w:keepLines w:val="0"/>
        <w:pageBreakBefore w:val="0"/>
        <w:tabs>
          <w:tab w:val="left" w:pos="1134"/>
        </w:tabs>
        <w:kinsoku/>
        <w:wordWrap/>
        <w:overflowPunct/>
        <w:topLinePunct w:val="0"/>
        <w:bidi w:val="0"/>
        <w:adjustRightInd w:val="0"/>
        <w:snapToGrid w:val="0"/>
        <w:spacing w:line="360" w:lineRule="auto"/>
        <w:ind w:left="0" w:leftChars="0" w:firstLine="0" w:firstLineChars="0"/>
        <w:jc w:val="both"/>
        <w:textAlignment w:val="auto"/>
        <w:rPr>
          <w:rFonts w:hint="eastAsia" w:ascii="宋体" w:hAnsi="宋体" w:eastAsia="宋体" w:cs="宋体"/>
          <w:bCs/>
          <w:sz w:val="21"/>
          <w:szCs w:val="21"/>
          <w:highlight w:val="none"/>
        </w:rPr>
      </w:pPr>
      <w:r>
        <w:rPr>
          <w:rFonts w:hint="eastAsia" w:ascii="宋体" w:hAnsi="宋体" w:eastAsia="宋体" w:cs="宋体"/>
          <w:sz w:val="21"/>
          <w:szCs w:val="21"/>
          <w:highlight w:val="none"/>
        </w:rPr>
        <w:t>见招标公告。</w:t>
      </w:r>
    </w:p>
    <w:p w14:paraId="2854E365">
      <w:pPr>
        <w:keepNext w:val="0"/>
        <w:keepLines w:val="0"/>
        <w:pageBreakBefore w:val="0"/>
        <w:tabs>
          <w:tab w:val="left" w:pos="1134"/>
        </w:tabs>
        <w:kinsoku/>
        <w:wordWrap/>
        <w:overflowPunct/>
        <w:topLinePunct w:val="0"/>
        <w:bidi w:val="0"/>
        <w:adjustRightInd w:val="0"/>
        <w:snapToGrid w:val="0"/>
        <w:spacing w:line="360" w:lineRule="auto"/>
        <w:ind w:left="0" w:leftChars="0" w:firstLine="0" w:firstLineChars="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（二）</w:t>
      </w:r>
      <w:r>
        <w:rPr>
          <w:rFonts w:hint="eastAsia" w:ascii="宋体" w:hAnsi="宋体" w:eastAsia="宋体" w:cs="宋体"/>
          <w:sz w:val="21"/>
          <w:szCs w:val="21"/>
          <w:highlight w:val="none"/>
          <w:lang w:val="en-US" w:eastAsia="zh-CN"/>
        </w:rPr>
        <w:t>招标</w:t>
      </w:r>
      <w:r>
        <w:rPr>
          <w:rFonts w:hint="eastAsia" w:ascii="宋体" w:hAnsi="宋体" w:eastAsia="宋体" w:cs="宋体"/>
          <w:sz w:val="21"/>
          <w:szCs w:val="21"/>
          <w:highlight w:val="none"/>
        </w:rPr>
        <w:t>范围及内容</w:t>
      </w:r>
    </w:p>
    <w:p w14:paraId="13B3C263">
      <w:pPr>
        <w:keepNext w:val="0"/>
        <w:keepLines w:val="0"/>
        <w:pageBreakBefore w:val="0"/>
        <w:tabs>
          <w:tab w:val="left" w:pos="1134"/>
        </w:tabs>
        <w:kinsoku/>
        <w:wordWrap/>
        <w:overflowPunct/>
        <w:topLinePunct w:val="0"/>
        <w:bidi w:val="0"/>
        <w:adjustRightInd w:val="0"/>
        <w:snapToGrid w:val="0"/>
        <w:spacing w:line="360" w:lineRule="auto"/>
        <w:ind w:left="0" w:leftChars="0" w:firstLine="0" w:firstLineChars="0"/>
        <w:jc w:val="both"/>
        <w:textAlignment w:val="auto"/>
        <w:rPr>
          <w:rFonts w:hint="eastAsia" w:ascii="宋体" w:hAnsi="宋体" w:eastAsia="宋体" w:cs="宋体"/>
          <w:bCs/>
          <w:sz w:val="21"/>
          <w:szCs w:val="21"/>
          <w:highlight w:val="none"/>
        </w:rPr>
      </w:pPr>
      <w:r>
        <w:rPr>
          <w:rFonts w:hint="eastAsia" w:ascii="宋体" w:hAnsi="宋体" w:eastAsia="宋体" w:cs="宋体"/>
          <w:sz w:val="21"/>
          <w:szCs w:val="21"/>
          <w:highlight w:val="none"/>
        </w:rPr>
        <w:t>见招标公告和合同条款。</w:t>
      </w:r>
    </w:p>
    <w:p w14:paraId="32BFD956">
      <w:pPr>
        <w:keepNext w:val="0"/>
        <w:keepLines w:val="0"/>
        <w:pageBreakBefore w:val="0"/>
        <w:widowControl/>
        <w:kinsoku/>
        <w:wordWrap/>
        <w:overflowPunct/>
        <w:topLinePunct w:val="0"/>
        <w:bidi w:val="0"/>
        <w:adjustRightInd w:val="0"/>
        <w:snapToGrid w:val="0"/>
        <w:spacing w:line="360" w:lineRule="auto"/>
        <w:ind w:left="0" w:leftChars="0" w:firstLine="0" w:firstLineChars="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（三）依据</w:t>
      </w:r>
    </w:p>
    <w:p w14:paraId="5F7102D4">
      <w:pPr>
        <w:keepNext w:val="0"/>
        <w:keepLines w:val="0"/>
        <w:pageBreakBefore w:val="0"/>
        <w:kinsoku/>
        <w:wordWrap/>
        <w:overflowPunct/>
        <w:topLinePunct w:val="0"/>
        <w:autoSpaceDE w:val="0"/>
        <w:autoSpaceDN w:val="0"/>
        <w:bidi w:val="0"/>
        <w:adjustRightInd w:val="0"/>
        <w:snapToGrid w:val="0"/>
        <w:spacing w:line="360" w:lineRule="auto"/>
        <w:ind w:left="0" w:leftChars="0" w:firstLine="0" w:firstLineChars="0"/>
        <w:jc w:val="both"/>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1.适用的法律、行政法规及部门规章；</w:t>
      </w:r>
    </w:p>
    <w:p w14:paraId="2E5807A4">
      <w:pPr>
        <w:keepNext w:val="0"/>
        <w:keepLines w:val="0"/>
        <w:pageBreakBefore w:val="0"/>
        <w:kinsoku/>
        <w:wordWrap/>
        <w:overflowPunct/>
        <w:topLinePunct w:val="0"/>
        <w:autoSpaceDE w:val="0"/>
        <w:autoSpaceDN w:val="0"/>
        <w:bidi w:val="0"/>
        <w:adjustRightInd w:val="0"/>
        <w:snapToGrid w:val="0"/>
        <w:spacing w:line="360" w:lineRule="auto"/>
        <w:ind w:left="0" w:leftChars="0" w:firstLine="0" w:firstLineChars="0"/>
        <w:jc w:val="both"/>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2.与工程有关的标准、规范、规程；</w:t>
      </w:r>
    </w:p>
    <w:p w14:paraId="36D5EC5B">
      <w:pPr>
        <w:keepNext w:val="0"/>
        <w:keepLines w:val="0"/>
        <w:pageBreakBefore w:val="0"/>
        <w:kinsoku/>
        <w:wordWrap/>
        <w:overflowPunct/>
        <w:topLinePunct w:val="0"/>
        <w:autoSpaceDE w:val="0"/>
        <w:autoSpaceDN w:val="0"/>
        <w:bidi w:val="0"/>
        <w:adjustRightInd w:val="0"/>
        <w:snapToGrid w:val="0"/>
        <w:spacing w:line="360" w:lineRule="auto"/>
        <w:ind w:left="0" w:leftChars="0" w:firstLine="0" w:firstLineChars="0"/>
        <w:jc w:val="both"/>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3.工程前期有关文件；</w:t>
      </w:r>
    </w:p>
    <w:p w14:paraId="09D517B7">
      <w:pPr>
        <w:keepNext w:val="0"/>
        <w:keepLines w:val="0"/>
        <w:pageBreakBefore w:val="0"/>
        <w:kinsoku/>
        <w:wordWrap/>
        <w:overflowPunct/>
        <w:topLinePunct w:val="0"/>
        <w:autoSpaceDE w:val="0"/>
        <w:autoSpaceDN w:val="0"/>
        <w:bidi w:val="0"/>
        <w:adjustRightInd w:val="0"/>
        <w:snapToGrid w:val="0"/>
        <w:spacing w:line="360" w:lineRule="auto"/>
        <w:ind w:left="0" w:leftChars="0" w:firstLine="0" w:firstLineChars="0"/>
        <w:jc w:val="both"/>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4.本工程的委托合同及补充合同；</w:t>
      </w:r>
    </w:p>
    <w:p w14:paraId="0FA57C0F">
      <w:pPr>
        <w:keepNext w:val="0"/>
        <w:keepLines w:val="0"/>
        <w:pageBreakBefore w:val="0"/>
        <w:kinsoku/>
        <w:wordWrap/>
        <w:overflowPunct/>
        <w:topLinePunct w:val="0"/>
        <w:autoSpaceDE w:val="0"/>
        <w:autoSpaceDN w:val="0"/>
        <w:bidi w:val="0"/>
        <w:adjustRightInd w:val="0"/>
        <w:snapToGrid w:val="0"/>
        <w:spacing w:line="360" w:lineRule="auto"/>
        <w:ind w:left="0" w:leftChars="0" w:firstLine="0" w:firstLineChars="0"/>
        <w:jc w:val="both"/>
        <w:textAlignment w:val="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5.其他依据。</w:t>
      </w:r>
    </w:p>
    <w:p w14:paraId="7B9DE220">
      <w:pPr>
        <w:keepNext w:val="0"/>
        <w:keepLines w:val="0"/>
        <w:pageBreakBefore w:val="0"/>
        <w:kinsoku/>
        <w:wordWrap/>
        <w:overflowPunct/>
        <w:topLinePunct w:val="0"/>
        <w:autoSpaceDE w:val="0"/>
        <w:autoSpaceDN w:val="0"/>
        <w:bidi w:val="0"/>
        <w:adjustRightInd w:val="0"/>
        <w:snapToGrid w:val="0"/>
        <w:spacing w:line="360" w:lineRule="auto"/>
        <w:ind w:left="0" w:leftChars="0" w:firstLine="0" w:firstLineChars="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（四）项目使用功能的要求：无。</w:t>
      </w:r>
    </w:p>
    <w:p w14:paraId="43334C5D">
      <w:pPr>
        <w:keepNext w:val="0"/>
        <w:keepLines w:val="0"/>
        <w:pageBreakBefore w:val="0"/>
        <w:kinsoku/>
        <w:wordWrap/>
        <w:overflowPunct/>
        <w:topLinePunct w:val="0"/>
        <w:autoSpaceDE w:val="0"/>
        <w:autoSpaceDN w:val="0"/>
        <w:bidi w:val="0"/>
        <w:adjustRightInd w:val="0"/>
        <w:snapToGrid w:val="0"/>
        <w:spacing w:line="360" w:lineRule="auto"/>
        <w:ind w:left="0" w:leftChars="0" w:firstLine="0" w:firstLineChars="0"/>
        <w:jc w:val="both"/>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（五）人员和设备要求：</w:t>
      </w:r>
      <w:r>
        <w:rPr>
          <w:rFonts w:hint="eastAsia" w:ascii="宋体" w:hAnsi="宋体" w:eastAsia="宋体" w:cs="宋体"/>
          <w:sz w:val="21"/>
          <w:szCs w:val="21"/>
          <w:highlight w:val="none"/>
        </w:rPr>
        <w:t>无。</w:t>
      </w:r>
    </w:p>
    <w:p w14:paraId="253B746A">
      <w:pPr>
        <w:keepNext w:val="0"/>
        <w:keepLines w:val="0"/>
        <w:pageBreakBefore w:val="0"/>
        <w:kinsoku/>
        <w:wordWrap/>
        <w:overflowPunct/>
        <w:topLinePunct w:val="0"/>
        <w:bidi w:val="0"/>
        <w:adjustRightInd w:val="0"/>
        <w:snapToGrid w:val="0"/>
        <w:spacing w:line="360" w:lineRule="auto"/>
        <w:ind w:left="0" w:leftChars="0" w:firstLine="0" w:firstLineChars="0"/>
        <w:jc w:val="both"/>
        <w:textAlignment w:val="auto"/>
        <w:rPr>
          <w:rFonts w:hint="eastAsia" w:ascii="宋体" w:hAnsi="宋体" w:eastAsia="宋体" w:cs="宋体"/>
          <w:b/>
          <w:sz w:val="21"/>
          <w:szCs w:val="21"/>
          <w:highlight w:val="none"/>
        </w:rPr>
      </w:pPr>
      <w:r>
        <w:rPr>
          <w:rFonts w:hint="eastAsia" w:ascii="宋体" w:hAnsi="宋体" w:eastAsia="宋体" w:cs="宋体"/>
          <w:b/>
          <w:sz w:val="21"/>
          <w:szCs w:val="21"/>
          <w:highlight w:val="none"/>
          <w:lang w:val="en-US" w:eastAsia="zh-CN"/>
        </w:rPr>
        <w:t>二</w:t>
      </w:r>
      <w:r>
        <w:rPr>
          <w:rFonts w:hint="eastAsia" w:ascii="宋体" w:hAnsi="宋体" w:eastAsia="宋体" w:cs="宋体"/>
          <w:b/>
          <w:sz w:val="21"/>
          <w:szCs w:val="21"/>
          <w:highlight w:val="none"/>
        </w:rPr>
        <w:t>、成果文件要求</w:t>
      </w:r>
    </w:p>
    <w:p w14:paraId="67E0049C">
      <w:pPr>
        <w:keepNext w:val="0"/>
        <w:keepLines w:val="0"/>
        <w:pageBreakBefore w:val="0"/>
        <w:kinsoku/>
        <w:wordWrap/>
        <w:overflowPunct/>
        <w:topLinePunct w:val="0"/>
        <w:bidi w:val="0"/>
        <w:adjustRightInd w:val="0"/>
        <w:snapToGrid w:val="0"/>
        <w:spacing w:line="360" w:lineRule="auto"/>
        <w:ind w:left="0" w:leftChars="0" w:firstLine="0" w:firstLineChars="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见招标公告和合同条款。</w:t>
      </w:r>
    </w:p>
    <w:p w14:paraId="0670F4F6">
      <w:pPr>
        <w:keepNext w:val="0"/>
        <w:keepLines w:val="0"/>
        <w:pageBreakBefore w:val="0"/>
        <w:kinsoku/>
        <w:wordWrap/>
        <w:overflowPunct/>
        <w:topLinePunct w:val="0"/>
        <w:bidi w:val="0"/>
        <w:adjustRightInd w:val="0"/>
        <w:snapToGrid w:val="0"/>
        <w:spacing w:line="360" w:lineRule="auto"/>
        <w:ind w:left="0" w:leftChars="0" w:firstLine="0" w:firstLineChars="0"/>
        <w:jc w:val="both"/>
        <w:textAlignment w:val="auto"/>
        <w:rPr>
          <w:rFonts w:hint="eastAsia" w:ascii="宋体" w:hAnsi="宋体" w:eastAsia="宋体" w:cs="宋体"/>
          <w:b/>
          <w:sz w:val="21"/>
          <w:szCs w:val="21"/>
          <w:highlight w:val="none"/>
        </w:rPr>
      </w:pPr>
      <w:r>
        <w:rPr>
          <w:rFonts w:hint="eastAsia" w:ascii="宋体" w:hAnsi="宋体" w:eastAsia="宋体" w:cs="宋体"/>
          <w:b/>
          <w:sz w:val="21"/>
          <w:szCs w:val="21"/>
          <w:highlight w:val="none"/>
          <w:lang w:val="en-US" w:eastAsia="zh-CN"/>
        </w:rPr>
        <w:t>三</w:t>
      </w:r>
      <w:r>
        <w:rPr>
          <w:rFonts w:hint="eastAsia" w:ascii="宋体" w:hAnsi="宋体" w:eastAsia="宋体" w:cs="宋体"/>
          <w:b/>
          <w:sz w:val="21"/>
          <w:szCs w:val="21"/>
          <w:highlight w:val="none"/>
        </w:rPr>
        <w:t>、发包人财产清单</w:t>
      </w:r>
    </w:p>
    <w:p w14:paraId="1A2025A2">
      <w:pPr>
        <w:keepNext w:val="0"/>
        <w:keepLines w:val="0"/>
        <w:pageBreakBefore w:val="0"/>
        <w:kinsoku/>
        <w:wordWrap/>
        <w:overflowPunct/>
        <w:topLinePunct w:val="0"/>
        <w:bidi w:val="0"/>
        <w:adjustRightInd w:val="0"/>
        <w:snapToGrid w:val="0"/>
        <w:spacing w:line="360" w:lineRule="auto"/>
        <w:ind w:left="0" w:leftChars="0" w:firstLine="0" w:firstLineChars="0"/>
        <w:jc w:val="both"/>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发包人不提供。</w:t>
      </w:r>
    </w:p>
    <w:p w14:paraId="4EB9C7C3">
      <w:pPr>
        <w:keepNext w:val="0"/>
        <w:keepLines w:val="0"/>
        <w:pageBreakBefore w:val="0"/>
        <w:kinsoku/>
        <w:wordWrap/>
        <w:overflowPunct/>
        <w:topLinePunct w:val="0"/>
        <w:bidi w:val="0"/>
        <w:adjustRightInd w:val="0"/>
        <w:snapToGrid w:val="0"/>
        <w:spacing w:line="360" w:lineRule="auto"/>
        <w:ind w:left="0" w:leftChars="0" w:firstLine="0" w:firstLineChars="0"/>
        <w:jc w:val="both"/>
        <w:textAlignment w:val="auto"/>
        <w:rPr>
          <w:rFonts w:hint="eastAsia" w:ascii="宋体" w:hAnsi="宋体" w:eastAsia="宋体" w:cs="宋体"/>
          <w:b/>
          <w:sz w:val="21"/>
          <w:szCs w:val="21"/>
          <w:highlight w:val="none"/>
        </w:rPr>
      </w:pPr>
      <w:r>
        <w:rPr>
          <w:rFonts w:hint="eastAsia" w:ascii="宋体" w:hAnsi="宋体" w:eastAsia="宋体" w:cs="宋体"/>
          <w:b/>
          <w:sz w:val="21"/>
          <w:szCs w:val="21"/>
          <w:highlight w:val="none"/>
          <w:lang w:val="en-US" w:eastAsia="zh-CN"/>
        </w:rPr>
        <w:t>四</w:t>
      </w:r>
      <w:r>
        <w:rPr>
          <w:rFonts w:hint="eastAsia" w:ascii="宋体" w:hAnsi="宋体" w:eastAsia="宋体" w:cs="宋体"/>
          <w:b/>
          <w:sz w:val="21"/>
          <w:szCs w:val="21"/>
          <w:highlight w:val="none"/>
        </w:rPr>
        <w:t>、发包人提供的便利条件：</w:t>
      </w:r>
      <w:bookmarkStart w:id="82" w:name="_Hlk55834128"/>
      <w:r>
        <w:rPr>
          <w:rFonts w:hint="eastAsia" w:ascii="宋体" w:hAnsi="宋体" w:eastAsia="宋体" w:cs="宋体"/>
          <w:sz w:val="21"/>
          <w:szCs w:val="21"/>
          <w:highlight w:val="none"/>
        </w:rPr>
        <w:t>无。</w:t>
      </w:r>
      <w:bookmarkEnd w:id="82"/>
    </w:p>
    <w:p w14:paraId="2426F9C2">
      <w:pPr>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lang w:val="en-US" w:eastAsia="zh-CN"/>
        </w:rPr>
        <w:t>五</w:t>
      </w:r>
      <w:r>
        <w:rPr>
          <w:rFonts w:hint="eastAsia" w:ascii="宋体" w:hAnsi="宋体" w:eastAsia="宋体" w:cs="宋体"/>
          <w:b/>
          <w:sz w:val="21"/>
          <w:szCs w:val="21"/>
          <w:highlight w:val="none"/>
        </w:rPr>
        <w:t>、发包人的其他要求：</w:t>
      </w:r>
    </w:p>
    <w:p w14:paraId="3977E51F">
      <w:pPr>
        <w:spacing w:line="360" w:lineRule="auto"/>
        <w:rPr>
          <w:rFonts w:hint="eastAsia" w:ascii="宋体" w:hAnsi="宋体" w:eastAsia="宋体" w:cs="宋体"/>
          <w:b/>
          <w:sz w:val="21"/>
          <w:szCs w:val="21"/>
          <w:highlight w:val="none"/>
        </w:rPr>
      </w:pPr>
      <w:r>
        <w:rPr>
          <w:rFonts w:hint="eastAsia" w:ascii="宋体" w:hAnsi="宋体" w:eastAsia="宋体" w:cs="宋体"/>
          <w:b/>
          <w:sz w:val="21"/>
          <w:szCs w:val="21"/>
          <w:highlight w:val="none"/>
        </w:rPr>
        <w:t>1、编制《525省道（328国道-沪陕高速）快速化改造方案研究报告》</w:t>
      </w:r>
      <w:r>
        <w:rPr>
          <w:rFonts w:hint="eastAsia" w:ascii="宋体" w:hAnsi="宋体" w:eastAsia="宋体" w:cs="宋体"/>
          <w:b/>
          <w:sz w:val="21"/>
          <w:szCs w:val="21"/>
          <w:highlight w:val="none"/>
          <w:lang w:eastAsia="zh-CN"/>
        </w:rPr>
        <w:t>及附表、附图、附件</w:t>
      </w:r>
      <w:r>
        <w:rPr>
          <w:rFonts w:hint="eastAsia" w:ascii="宋体" w:hAnsi="宋体" w:eastAsia="宋体" w:cs="宋体"/>
          <w:b/>
          <w:sz w:val="21"/>
          <w:szCs w:val="21"/>
          <w:highlight w:val="none"/>
        </w:rPr>
        <w:t>，提供报告文件纸质版8套。所有研究成果的电子版一份（图纸要求为无加密的CAD格式）。</w:t>
      </w:r>
    </w:p>
    <w:p w14:paraId="79FA4947">
      <w:pPr>
        <w:spacing w:line="360" w:lineRule="auto"/>
        <w:rPr>
          <w:rFonts w:ascii="宋体" w:hAnsi="宋体"/>
          <w:color w:val="000000" w:themeColor="text1"/>
          <w:szCs w:val="21"/>
          <w:highlight w:val="none"/>
          <w14:textFill>
            <w14:solidFill>
              <w14:schemeClr w14:val="tx1"/>
            </w14:solidFill>
          </w14:textFill>
        </w:rPr>
      </w:pPr>
      <w:r>
        <w:rPr>
          <w:rFonts w:hint="eastAsia" w:ascii="宋体" w:hAnsi="宋体" w:eastAsia="宋体" w:cs="宋体"/>
          <w:b/>
          <w:sz w:val="21"/>
          <w:szCs w:val="21"/>
          <w:highlight w:val="none"/>
        </w:rPr>
        <w:t>2、所有成果文件必须满足相关规范要求，且成果须通过市级审查。</w:t>
      </w:r>
    </w:p>
    <w:p w14:paraId="6743BD25">
      <w:pPr>
        <w:spacing w:line="360" w:lineRule="auto"/>
        <w:ind w:firstLine="420" w:firstLineChars="200"/>
        <w:rPr>
          <w:rFonts w:ascii="Garamond" w:hAnsi="Garamond"/>
          <w:color w:val="000000" w:themeColor="text1"/>
          <w:szCs w:val="21"/>
          <w:highlight w:val="none"/>
          <w14:textFill>
            <w14:solidFill>
              <w14:schemeClr w14:val="tx1"/>
            </w14:solidFill>
          </w14:textFill>
        </w:rPr>
        <w:sectPr>
          <w:pgSz w:w="11906" w:h="16838"/>
          <w:pgMar w:top="1417" w:right="1247" w:bottom="1417" w:left="1417" w:header="851" w:footer="680" w:gutter="0"/>
          <w:pgNumType w:fmt="decimal"/>
          <w:cols w:space="0" w:num="1"/>
          <w:docGrid w:linePitch="312" w:charSpace="0"/>
        </w:sectPr>
      </w:pPr>
    </w:p>
    <w:p w14:paraId="39359233">
      <w:pPr>
        <w:spacing w:line="400" w:lineRule="exact"/>
        <w:ind w:firstLine="420" w:firstLineChars="200"/>
        <w:rPr>
          <w:rFonts w:ascii="Garamond" w:hAnsi="Garamond"/>
          <w:color w:val="000000" w:themeColor="text1"/>
          <w:highlight w:val="none"/>
          <w14:textFill>
            <w14:solidFill>
              <w14:schemeClr w14:val="tx1"/>
            </w14:solidFill>
          </w14:textFill>
        </w:rPr>
      </w:pPr>
    </w:p>
    <w:p w14:paraId="1B5CBD83">
      <w:pPr>
        <w:spacing w:line="400" w:lineRule="exact"/>
        <w:ind w:firstLine="420" w:firstLineChars="200"/>
        <w:rPr>
          <w:rFonts w:ascii="Garamond" w:hAnsi="Garamond"/>
          <w:color w:val="000000" w:themeColor="text1"/>
          <w:highlight w:val="none"/>
          <w14:textFill>
            <w14:solidFill>
              <w14:schemeClr w14:val="tx1"/>
            </w14:solidFill>
          </w14:textFill>
        </w:rPr>
      </w:pPr>
    </w:p>
    <w:p w14:paraId="0EDFC0EA">
      <w:pPr>
        <w:spacing w:line="400" w:lineRule="exact"/>
        <w:ind w:firstLine="420" w:firstLineChars="200"/>
        <w:rPr>
          <w:rFonts w:ascii="Garamond" w:hAnsi="Garamond"/>
          <w:color w:val="000000" w:themeColor="text1"/>
          <w:highlight w:val="none"/>
          <w14:textFill>
            <w14:solidFill>
              <w14:schemeClr w14:val="tx1"/>
            </w14:solidFill>
          </w14:textFill>
        </w:rPr>
      </w:pPr>
    </w:p>
    <w:p w14:paraId="54785396">
      <w:pPr>
        <w:spacing w:line="400" w:lineRule="exact"/>
        <w:ind w:firstLine="420" w:firstLineChars="200"/>
        <w:rPr>
          <w:rFonts w:ascii="Garamond" w:hAnsi="Garamond"/>
          <w:color w:val="000000" w:themeColor="text1"/>
          <w:highlight w:val="none"/>
          <w14:textFill>
            <w14:solidFill>
              <w14:schemeClr w14:val="tx1"/>
            </w14:solidFill>
          </w14:textFill>
        </w:rPr>
      </w:pPr>
    </w:p>
    <w:p w14:paraId="6C89585C">
      <w:pPr>
        <w:spacing w:line="400" w:lineRule="exact"/>
        <w:ind w:firstLine="420" w:firstLineChars="200"/>
        <w:rPr>
          <w:rFonts w:ascii="Garamond" w:hAnsi="Garamond"/>
          <w:color w:val="000000" w:themeColor="text1"/>
          <w:highlight w:val="none"/>
          <w14:textFill>
            <w14:solidFill>
              <w14:schemeClr w14:val="tx1"/>
            </w14:solidFill>
          </w14:textFill>
        </w:rPr>
      </w:pPr>
    </w:p>
    <w:p w14:paraId="741E8DEB">
      <w:pPr>
        <w:spacing w:line="400" w:lineRule="exact"/>
        <w:ind w:firstLine="420" w:firstLineChars="200"/>
        <w:rPr>
          <w:rFonts w:ascii="Garamond" w:hAnsi="Garamond"/>
          <w:color w:val="000000" w:themeColor="text1"/>
          <w:highlight w:val="none"/>
          <w14:textFill>
            <w14:solidFill>
              <w14:schemeClr w14:val="tx1"/>
            </w14:solidFill>
          </w14:textFill>
        </w:rPr>
      </w:pPr>
    </w:p>
    <w:p w14:paraId="7D0349B1">
      <w:pPr>
        <w:spacing w:line="400" w:lineRule="exact"/>
        <w:ind w:firstLine="420" w:firstLineChars="200"/>
        <w:rPr>
          <w:rFonts w:ascii="Garamond" w:hAnsi="Garamond"/>
          <w:color w:val="000000" w:themeColor="text1"/>
          <w:highlight w:val="none"/>
          <w14:textFill>
            <w14:solidFill>
              <w14:schemeClr w14:val="tx1"/>
            </w14:solidFill>
          </w14:textFill>
        </w:rPr>
      </w:pPr>
    </w:p>
    <w:p w14:paraId="4375B4B6">
      <w:pPr>
        <w:spacing w:line="400" w:lineRule="exact"/>
        <w:ind w:firstLine="420" w:firstLineChars="200"/>
        <w:rPr>
          <w:rFonts w:ascii="Garamond" w:hAnsi="Garamond"/>
          <w:color w:val="000000" w:themeColor="text1"/>
          <w:highlight w:val="none"/>
          <w14:textFill>
            <w14:solidFill>
              <w14:schemeClr w14:val="tx1"/>
            </w14:solidFill>
          </w14:textFill>
        </w:rPr>
      </w:pPr>
    </w:p>
    <w:p w14:paraId="03AE8792">
      <w:pPr>
        <w:spacing w:line="400" w:lineRule="exact"/>
        <w:ind w:firstLine="420" w:firstLineChars="200"/>
        <w:rPr>
          <w:rFonts w:ascii="Garamond" w:hAnsi="Garamond"/>
          <w:color w:val="000000" w:themeColor="text1"/>
          <w:highlight w:val="none"/>
          <w14:textFill>
            <w14:solidFill>
              <w14:schemeClr w14:val="tx1"/>
            </w14:solidFill>
          </w14:textFill>
        </w:rPr>
      </w:pPr>
    </w:p>
    <w:p w14:paraId="0DFA7DBF">
      <w:pPr>
        <w:spacing w:line="740" w:lineRule="exact"/>
        <w:jc w:val="center"/>
        <w:outlineLvl w:val="0"/>
        <w:rPr>
          <w:rFonts w:ascii="Garamond" w:hAnsi="Garamond"/>
          <w:b/>
          <w:color w:val="000000" w:themeColor="text1"/>
          <w:sz w:val="72"/>
          <w:szCs w:val="72"/>
          <w:highlight w:val="none"/>
          <w14:textFill>
            <w14:solidFill>
              <w14:schemeClr w14:val="tx1"/>
            </w14:solidFill>
          </w14:textFill>
        </w:rPr>
      </w:pPr>
      <w:bookmarkStart w:id="83" w:name="_Toc353197104"/>
      <w:r>
        <w:rPr>
          <w:rFonts w:ascii="Garamond" w:hAnsi="Garamond"/>
          <w:b/>
          <w:color w:val="000000" w:themeColor="text1"/>
          <w:sz w:val="72"/>
          <w:szCs w:val="72"/>
          <w:highlight w:val="none"/>
          <w14:textFill>
            <w14:solidFill>
              <w14:schemeClr w14:val="tx1"/>
            </w14:solidFill>
          </w14:textFill>
        </w:rPr>
        <w:t>第 三 卷</w:t>
      </w:r>
      <w:bookmarkEnd w:id="83"/>
    </w:p>
    <w:p w14:paraId="72A2C66C">
      <w:pPr>
        <w:spacing w:line="1100" w:lineRule="exact"/>
        <w:jc w:val="center"/>
        <w:rPr>
          <w:rFonts w:ascii="Garamond" w:hAnsi="Garamond"/>
          <w:b/>
          <w:color w:val="000000" w:themeColor="text1"/>
          <w:sz w:val="52"/>
          <w:szCs w:val="52"/>
          <w:highlight w:val="none"/>
          <w14:textFill>
            <w14:solidFill>
              <w14:schemeClr w14:val="tx1"/>
            </w14:solidFill>
          </w14:textFill>
        </w:rPr>
      </w:pPr>
    </w:p>
    <w:p w14:paraId="676FC6CC">
      <w:pPr>
        <w:spacing w:line="1100" w:lineRule="exact"/>
        <w:jc w:val="center"/>
        <w:rPr>
          <w:rFonts w:ascii="Garamond" w:hAnsi="Garamond"/>
          <w:b/>
          <w:color w:val="000000" w:themeColor="text1"/>
          <w:sz w:val="52"/>
          <w:szCs w:val="52"/>
          <w:highlight w:val="none"/>
          <w14:textFill>
            <w14:solidFill>
              <w14:schemeClr w14:val="tx1"/>
            </w14:solidFill>
          </w14:textFill>
        </w:rPr>
      </w:pPr>
    </w:p>
    <w:p w14:paraId="4203CE39">
      <w:pPr>
        <w:spacing w:line="1100" w:lineRule="exact"/>
        <w:jc w:val="center"/>
        <w:rPr>
          <w:rFonts w:ascii="Garamond" w:hAnsi="Garamond"/>
          <w:b/>
          <w:color w:val="000000" w:themeColor="text1"/>
          <w:sz w:val="52"/>
          <w:szCs w:val="52"/>
          <w:highlight w:val="none"/>
          <w14:textFill>
            <w14:solidFill>
              <w14:schemeClr w14:val="tx1"/>
            </w14:solidFill>
          </w14:textFill>
        </w:rPr>
      </w:pPr>
    </w:p>
    <w:p w14:paraId="4E47592F">
      <w:pPr>
        <w:spacing w:line="1100" w:lineRule="exact"/>
        <w:jc w:val="center"/>
        <w:rPr>
          <w:rFonts w:ascii="Garamond" w:hAnsi="Garamond"/>
          <w:b/>
          <w:color w:val="000000" w:themeColor="text1"/>
          <w:sz w:val="52"/>
          <w:szCs w:val="52"/>
          <w:highlight w:val="none"/>
          <w14:textFill>
            <w14:solidFill>
              <w14:schemeClr w14:val="tx1"/>
            </w14:solidFill>
          </w14:textFill>
        </w:rPr>
      </w:pPr>
    </w:p>
    <w:p w14:paraId="0B85A879">
      <w:pPr>
        <w:spacing w:line="1100" w:lineRule="exact"/>
        <w:jc w:val="center"/>
        <w:rPr>
          <w:rFonts w:ascii="Garamond" w:hAnsi="Garamond"/>
          <w:b/>
          <w:color w:val="000000" w:themeColor="text1"/>
          <w:sz w:val="52"/>
          <w:szCs w:val="52"/>
          <w:highlight w:val="none"/>
          <w14:textFill>
            <w14:solidFill>
              <w14:schemeClr w14:val="tx1"/>
            </w14:solidFill>
          </w14:textFill>
        </w:rPr>
      </w:pPr>
    </w:p>
    <w:p w14:paraId="3D507EA3">
      <w:pPr>
        <w:spacing w:line="1100" w:lineRule="exact"/>
        <w:jc w:val="center"/>
        <w:rPr>
          <w:rFonts w:ascii="Garamond" w:hAnsi="Garamond"/>
          <w:b/>
          <w:color w:val="000000" w:themeColor="text1"/>
          <w:sz w:val="52"/>
          <w:szCs w:val="52"/>
          <w:highlight w:val="none"/>
          <w14:textFill>
            <w14:solidFill>
              <w14:schemeClr w14:val="tx1"/>
            </w14:solidFill>
          </w14:textFill>
        </w:rPr>
      </w:pPr>
    </w:p>
    <w:p w14:paraId="7A9D3C7A">
      <w:pPr>
        <w:spacing w:line="1100" w:lineRule="exact"/>
        <w:jc w:val="center"/>
        <w:rPr>
          <w:rFonts w:ascii="Garamond" w:hAnsi="Garamond"/>
          <w:b/>
          <w:color w:val="000000" w:themeColor="text1"/>
          <w:sz w:val="52"/>
          <w:szCs w:val="52"/>
          <w:highlight w:val="none"/>
          <w14:textFill>
            <w14:solidFill>
              <w14:schemeClr w14:val="tx1"/>
            </w14:solidFill>
          </w14:textFill>
        </w:rPr>
      </w:pPr>
    </w:p>
    <w:p w14:paraId="4371B043">
      <w:pPr>
        <w:spacing w:line="1100" w:lineRule="exact"/>
        <w:jc w:val="center"/>
        <w:rPr>
          <w:rFonts w:ascii="Garamond" w:hAnsi="Garamond"/>
          <w:b/>
          <w:color w:val="000000" w:themeColor="text1"/>
          <w:sz w:val="52"/>
          <w:szCs w:val="52"/>
          <w:highlight w:val="none"/>
          <w14:textFill>
            <w14:solidFill>
              <w14:schemeClr w14:val="tx1"/>
            </w14:solidFill>
          </w14:textFill>
        </w:rPr>
      </w:pPr>
    </w:p>
    <w:p w14:paraId="58CAA095">
      <w:pPr>
        <w:spacing w:line="1100" w:lineRule="exact"/>
        <w:jc w:val="center"/>
        <w:rPr>
          <w:rFonts w:ascii="Garamond" w:hAnsi="Garamond"/>
          <w:b/>
          <w:color w:val="000000" w:themeColor="text1"/>
          <w:sz w:val="52"/>
          <w:szCs w:val="52"/>
          <w:highlight w:val="none"/>
          <w14:textFill>
            <w14:solidFill>
              <w14:schemeClr w14:val="tx1"/>
            </w14:solidFill>
          </w14:textFill>
        </w:rPr>
      </w:pPr>
    </w:p>
    <w:p w14:paraId="7ABF6D35">
      <w:pPr>
        <w:spacing w:line="1100" w:lineRule="exact"/>
        <w:jc w:val="center"/>
        <w:rPr>
          <w:rFonts w:ascii="Garamond" w:hAnsi="Garamond"/>
          <w:b/>
          <w:color w:val="000000" w:themeColor="text1"/>
          <w:sz w:val="52"/>
          <w:szCs w:val="52"/>
          <w:highlight w:val="none"/>
          <w14:textFill>
            <w14:solidFill>
              <w14:schemeClr w14:val="tx1"/>
            </w14:solidFill>
          </w14:textFill>
        </w:rPr>
      </w:pPr>
    </w:p>
    <w:p w14:paraId="3798B508">
      <w:pPr>
        <w:spacing w:line="1100" w:lineRule="exact"/>
        <w:jc w:val="center"/>
        <w:rPr>
          <w:rFonts w:ascii="Garamond" w:hAnsi="Garamond"/>
          <w:b/>
          <w:color w:val="000000" w:themeColor="text1"/>
          <w:sz w:val="52"/>
          <w:szCs w:val="52"/>
          <w:highlight w:val="none"/>
          <w14:textFill>
            <w14:solidFill>
              <w14:schemeClr w14:val="tx1"/>
            </w14:solidFill>
          </w14:textFill>
        </w:rPr>
      </w:pPr>
    </w:p>
    <w:p w14:paraId="28CA978E">
      <w:pPr>
        <w:pStyle w:val="2"/>
        <w:spacing w:before="120" w:after="120" w:line="600" w:lineRule="exact"/>
        <w:jc w:val="center"/>
        <w:rPr>
          <w:rFonts w:ascii="Garamond" w:hAnsi="Garamond"/>
          <w:color w:val="000000" w:themeColor="text1"/>
          <w:sz w:val="48"/>
          <w:szCs w:val="48"/>
          <w:highlight w:val="none"/>
          <w14:textFill>
            <w14:solidFill>
              <w14:schemeClr w14:val="tx1"/>
            </w14:solidFill>
          </w14:textFill>
        </w:rPr>
      </w:pPr>
      <w:bookmarkStart w:id="84" w:name="_Toc353197105"/>
      <w:r>
        <w:rPr>
          <w:rFonts w:ascii="Garamond" w:hAnsi="Garamond"/>
          <w:color w:val="000000" w:themeColor="text1"/>
          <w:sz w:val="48"/>
          <w:szCs w:val="48"/>
          <w:highlight w:val="none"/>
          <w14:textFill>
            <w14:solidFill>
              <w14:schemeClr w14:val="tx1"/>
            </w14:solidFill>
          </w14:textFill>
        </w:rPr>
        <w:t>第七章 投标文件格式</w:t>
      </w:r>
      <w:bookmarkEnd w:id="84"/>
    </w:p>
    <w:p w14:paraId="3013A0C1">
      <w:pPr>
        <w:spacing w:line="360" w:lineRule="auto"/>
        <w:jc w:val="center"/>
        <w:rPr>
          <w:rFonts w:ascii="Garamond" w:hAnsi="Garamond"/>
          <w:b/>
          <w:color w:val="000000" w:themeColor="text1"/>
          <w:sz w:val="24"/>
          <w:highlight w:val="none"/>
          <w14:textFill>
            <w14:solidFill>
              <w14:schemeClr w14:val="tx1"/>
            </w14:solidFill>
          </w14:textFill>
        </w:rPr>
      </w:pPr>
    </w:p>
    <w:p w14:paraId="785B5D20">
      <w:pPr>
        <w:spacing w:line="360" w:lineRule="auto"/>
        <w:jc w:val="center"/>
        <w:rPr>
          <w:rFonts w:ascii="Garamond" w:hAnsi="Garamond"/>
          <w:b/>
          <w:color w:val="000000" w:themeColor="text1"/>
          <w:sz w:val="24"/>
          <w:highlight w:val="none"/>
          <w14:textFill>
            <w14:solidFill>
              <w14:schemeClr w14:val="tx1"/>
            </w14:solidFill>
          </w14:textFill>
        </w:rPr>
      </w:pPr>
    </w:p>
    <w:p w14:paraId="0DADA600">
      <w:pPr>
        <w:spacing w:line="360" w:lineRule="auto"/>
        <w:jc w:val="center"/>
        <w:rPr>
          <w:rFonts w:ascii="Garamond" w:hAnsi="Garamond"/>
          <w:b/>
          <w:color w:val="000000" w:themeColor="text1"/>
          <w:sz w:val="24"/>
          <w:highlight w:val="none"/>
          <w14:textFill>
            <w14:solidFill>
              <w14:schemeClr w14:val="tx1"/>
            </w14:solidFill>
          </w14:textFill>
        </w:rPr>
      </w:pPr>
    </w:p>
    <w:p w14:paraId="3D342AF3">
      <w:pPr>
        <w:spacing w:line="360" w:lineRule="auto"/>
        <w:jc w:val="center"/>
        <w:rPr>
          <w:rFonts w:ascii="Garamond" w:hAnsi="Garamond"/>
          <w:b/>
          <w:color w:val="000000" w:themeColor="text1"/>
          <w:sz w:val="24"/>
          <w:highlight w:val="none"/>
          <w14:textFill>
            <w14:solidFill>
              <w14:schemeClr w14:val="tx1"/>
            </w14:solidFill>
          </w14:textFill>
        </w:rPr>
      </w:pPr>
    </w:p>
    <w:p w14:paraId="576E24D7">
      <w:pPr>
        <w:spacing w:line="360" w:lineRule="auto"/>
        <w:jc w:val="center"/>
        <w:rPr>
          <w:rFonts w:ascii="Garamond" w:hAnsi="Garamond"/>
          <w:b/>
          <w:color w:val="000000" w:themeColor="text1"/>
          <w:sz w:val="24"/>
          <w:highlight w:val="none"/>
          <w14:textFill>
            <w14:solidFill>
              <w14:schemeClr w14:val="tx1"/>
            </w14:solidFill>
          </w14:textFill>
        </w:rPr>
      </w:pPr>
    </w:p>
    <w:p w14:paraId="09A0289E">
      <w:pPr>
        <w:spacing w:line="360" w:lineRule="auto"/>
        <w:jc w:val="center"/>
        <w:rPr>
          <w:rFonts w:ascii="Garamond" w:hAnsi="Garamond"/>
          <w:b/>
          <w:color w:val="000000" w:themeColor="text1"/>
          <w:sz w:val="24"/>
          <w:highlight w:val="none"/>
          <w14:textFill>
            <w14:solidFill>
              <w14:schemeClr w14:val="tx1"/>
            </w14:solidFill>
          </w14:textFill>
        </w:rPr>
      </w:pPr>
    </w:p>
    <w:p w14:paraId="0F230F45">
      <w:pPr>
        <w:spacing w:line="360" w:lineRule="auto"/>
        <w:jc w:val="center"/>
        <w:rPr>
          <w:rFonts w:ascii="Garamond" w:hAnsi="Garamond"/>
          <w:b/>
          <w:color w:val="000000" w:themeColor="text1"/>
          <w:sz w:val="24"/>
          <w:highlight w:val="none"/>
          <w14:textFill>
            <w14:solidFill>
              <w14:schemeClr w14:val="tx1"/>
            </w14:solidFill>
          </w14:textFill>
        </w:rPr>
      </w:pPr>
    </w:p>
    <w:p w14:paraId="37502A96">
      <w:pPr>
        <w:spacing w:line="360" w:lineRule="auto"/>
        <w:jc w:val="center"/>
        <w:rPr>
          <w:rFonts w:ascii="Garamond" w:hAnsi="Garamond"/>
          <w:b/>
          <w:color w:val="000000" w:themeColor="text1"/>
          <w:sz w:val="24"/>
          <w:highlight w:val="none"/>
          <w14:textFill>
            <w14:solidFill>
              <w14:schemeClr w14:val="tx1"/>
            </w14:solidFill>
          </w14:textFill>
        </w:rPr>
      </w:pPr>
    </w:p>
    <w:p w14:paraId="1F8BD831">
      <w:pPr>
        <w:spacing w:line="360" w:lineRule="auto"/>
        <w:jc w:val="center"/>
        <w:rPr>
          <w:rFonts w:ascii="Garamond" w:hAnsi="Garamond"/>
          <w:b/>
          <w:color w:val="000000" w:themeColor="text1"/>
          <w:sz w:val="24"/>
          <w:highlight w:val="none"/>
          <w14:textFill>
            <w14:solidFill>
              <w14:schemeClr w14:val="tx1"/>
            </w14:solidFill>
          </w14:textFill>
        </w:rPr>
      </w:pPr>
    </w:p>
    <w:p w14:paraId="7D8E1479">
      <w:pPr>
        <w:spacing w:line="360" w:lineRule="auto"/>
        <w:jc w:val="center"/>
        <w:rPr>
          <w:rFonts w:ascii="Garamond" w:hAnsi="Garamond"/>
          <w:b/>
          <w:color w:val="000000" w:themeColor="text1"/>
          <w:sz w:val="24"/>
          <w:highlight w:val="none"/>
          <w14:textFill>
            <w14:solidFill>
              <w14:schemeClr w14:val="tx1"/>
            </w14:solidFill>
          </w14:textFill>
        </w:rPr>
      </w:pPr>
    </w:p>
    <w:p w14:paraId="59182B12">
      <w:pPr>
        <w:spacing w:line="360" w:lineRule="auto"/>
        <w:jc w:val="center"/>
        <w:rPr>
          <w:rFonts w:ascii="Garamond" w:hAnsi="Garamond"/>
          <w:b/>
          <w:color w:val="000000" w:themeColor="text1"/>
          <w:sz w:val="24"/>
          <w:highlight w:val="none"/>
          <w14:textFill>
            <w14:solidFill>
              <w14:schemeClr w14:val="tx1"/>
            </w14:solidFill>
          </w14:textFill>
        </w:rPr>
      </w:pPr>
    </w:p>
    <w:p w14:paraId="2F40E0DE">
      <w:pPr>
        <w:spacing w:line="360" w:lineRule="auto"/>
        <w:jc w:val="center"/>
        <w:rPr>
          <w:rFonts w:ascii="Garamond" w:hAnsi="Garamond"/>
          <w:b/>
          <w:color w:val="000000" w:themeColor="text1"/>
          <w:sz w:val="24"/>
          <w:highlight w:val="none"/>
          <w14:textFill>
            <w14:solidFill>
              <w14:schemeClr w14:val="tx1"/>
            </w14:solidFill>
          </w14:textFill>
        </w:rPr>
      </w:pPr>
    </w:p>
    <w:p w14:paraId="22EDE861">
      <w:pPr>
        <w:spacing w:line="360" w:lineRule="auto"/>
        <w:jc w:val="center"/>
        <w:rPr>
          <w:rFonts w:ascii="Garamond" w:hAnsi="Garamond"/>
          <w:b/>
          <w:color w:val="000000" w:themeColor="text1"/>
          <w:sz w:val="24"/>
          <w:highlight w:val="none"/>
          <w14:textFill>
            <w14:solidFill>
              <w14:schemeClr w14:val="tx1"/>
            </w14:solidFill>
          </w14:textFill>
        </w:rPr>
      </w:pPr>
    </w:p>
    <w:p w14:paraId="743F1680">
      <w:pPr>
        <w:spacing w:line="360" w:lineRule="auto"/>
        <w:jc w:val="center"/>
        <w:rPr>
          <w:rFonts w:ascii="Garamond" w:hAnsi="Garamond"/>
          <w:b/>
          <w:color w:val="000000" w:themeColor="text1"/>
          <w:sz w:val="24"/>
          <w:highlight w:val="none"/>
          <w14:textFill>
            <w14:solidFill>
              <w14:schemeClr w14:val="tx1"/>
            </w14:solidFill>
          </w14:textFill>
        </w:rPr>
      </w:pPr>
    </w:p>
    <w:p w14:paraId="1252382E">
      <w:pPr>
        <w:spacing w:line="360" w:lineRule="auto"/>
        <w:jc w:val="center"/>
        <w:rPr>
          <w:rFonts w:ascii="Garamond" w:hAnsi="Garamond"/>
          <w:b/>
          <w:color w:val="000000" w:themeColor="text1"/>
          <w:sz w:val="24"/>
          <w:highlight w:val="none"/>
          <w14:textFill>
            <w14:solidFill>
              <w14:schemeClr w14:val="tx1"/>
            </w14:solidFill>
          </w14:textFill>
        </w:rPr>
      </w:pPr>
    </w:p>
    <w:p w14:paraId="26E776CB">
      <w:pPr>
        <w:spacing w:line="360" w:lineRule="auto"/>
        <w:jc w:val="center"/>
        <w:rPr>
          <w:rFonts w:ascii="Garamond" w:hAnsi="Garamond"/>
          <w:b/>
          <w:color w:val="000000" w:themeColor="text1"/>
          <w:sz w:val="24"/>
          <w:highlight w:val="none"/>
          <w14:textFill>
            <w14:solidFill>
              <w14:schemeClr w14:val="tx1"/>
            </w14:solidFill>
          </w14:textFill>
        </w:rPr>
      </w:pPr>
    </w:p>
    <w:p w14:paraId="7022F654">
      <w:pPr>
        <w:spacing w:line="360" w:lineRule="auto"/>
        <w:jc w:val="center"/>
        <w:rPr>
          <w:rFonts w:ascii="Garamond" w:hAnsi="Garamond"/>
          <w:b/>
          <w:color w:val="000000" w:themeColor="text1"/>
          <w:sz w:val="24"/>
          <w:highlight w:val="none"/>
          <w14:textFill>
            <w14:solidFill>
              <w14:schemeClr w14:val="tx1"/>
            </w14:solidFill>
          </w14:textFill>
        </w:rPr>
      </w:pPr>
    </w:p>
    <w:p w14:paraId="534759F5">
      <w:pPr>
        <w:spacing w:line="360" w:lineRule="auto"/>
        <w:jc w:val="center"/>
        <w:rPr>
          <w:rFonts w:ascii="Garamond" w:hAnsi="Garamond"/>
          <w:b/>
          <w:color w:val="000000" w:themeColor="text1"/>
          <w:sz w:val="24"/>
          <w:highlight w:val="none"/>
          <w14:textFill>
            <w14:solidFill>
              <w14:schemeClr w14:val="tx1"/>
            </w14:solidFill>
          </w14:textFill>
        </w:rPr>
      </w:pPr>
    </w:p>
    <w:p w14:paraId="67E45462">
      <w:pPr>
        <w:spacing w:line="360" w:lineRule="auto"/>
        <w:jc w:val="center"/>
        <w:rPr>
          <w:rFonts w:ascii="Garamond" w:hAnsi="Garamond"/>
          <w:b/>
          <w:color w:val="000000" w:themeColor="text1"/>
          <w:sz w:val="24"/>
          <w:highlight w:val="none"/>
          <w14:textFill>
            <w14:solidFill>
              <w14:schemeClr w14:val="tx1"/>
            </w14:solidFill>
          </w14:textFill>
        </w:rPr>
      </w:pPr>
    </w:p>
    <w:p w14:paraId="5CAD0158">
      <w:pPr>
        <w:spacing w:line="360" w:lineRule="auto"/>
        <w:jc w:val="center"/>
        <w:rPr>
          <w:rFonts w:ascii="Garamond" w:hAnsi="Garamond"/>
          <w:b/>
          <w:color w:val="000000" w:themeColor="text1"/>
          <w:sz w:val="24"/>
          <w:highlight w:val="none"/>
          <w14:textFill>
            <w14:solidFill>
              <w14:schemeClr w14:val="tx1"/>
            </w14:solidFill>
          </w14:textFill>
        </w:rPr>
      </w:pPr>
    </w:p>
    <w:p w14:paraId="65011339">
      <w:pPr>
        <w:spacing w:line="360" w:lineRule="auto"/>
        <w:jc w:val="center"/>
        <w:rPr>
          <w:rFonts w:ascii="Garamond" w:hAnsi="Garamond"/>
          <w:b/>
          <w:color w:val="000000" w:themeColor="text1"/>
          <w:sz w:val="24"/>
          <w:highlight w:val="none"/>
          <w14:textFill>
            <w14:solidFill>
              <w14:schemeClr w14:val="tx1"/>
            </w14:solidFill>
          </w14:textFill>
        </w:rPr>
      </w:pPr>
    </w:p>
    <w:p w14:paraId="5B76E6A1">
      <w:pPr>
        <w:rPr>
          <w:rFonts w:ascii="Garamond" w:hAnsi="Garamond"/>
          <w:b/>
          <w:color w:val="000000" w:themeColor="text1"/>
          <w:sz w:val="36"/>
          <w:szCs w:val="36"/>
          <w:highlight w:val="none"/>
          <w14:textFill>
            <w14:solidFill>
              <w14:schemeClr w14:val="tx1"/>
            </w14:solidFill>
          </w14:textFill>
        </w:rPr>
      </w:pPr>
      <w:r>
        <w:rPr>
          <w:rFonts w:ascii="Garamond" w:hAnsi="Garamond"/>
          <w:b/>
          <w:color w:val="000000" w:themeColor="text1"/>
          <w:sz w:val="36"/>
          <w:szCs w:val="36"/>
          <w:highlight w:val="none"/>
          <w14:textFill>
            <w14:solidFill>
              <w14:schemeClr w14:val="tx1"/>
            </w14:solidFill>
          </w14:textFill>
        </w:rPr>
        <w:br w:type="page"/>
      </w:r>
    </w:p>
    <w:p w14:paraId="5093F716">
      <w:pPr>
        <w:spacing w:line="360" w:lineRule="auto"/>
        <w:jc w:val="right"/>
        <w:rPr>
          <w:rFonts w:ascii="Garamond" w:hAnsi="Garamond"/>
          <w:b/>
          <w:color w:val="000000" w:themeColor="text1"/>
          <w:sz w:val="36"/>
          <w:szCs w:val="36"/>
          <w:highlight w:val="none"/>
          <w14:textFill>
            <w14:solidFill>
              <w14:schemeClr w14:val="tx1"/>
            </w14:solidFill>
          </w14:textFill>
        </w:rPr>
      </w:pPr>
      <w:r>
        <w:rPr>
          <w:rFonts w:ascii="Garamond" w:hAnsi="Garamond"/>
          <w:b/>
          <w:color w:val="000000" w:themeColor="text1"/>
          <w:sz w:val="36"/>
          <w:szCs w:val="36"/>
          <w:highlight w:val="none"/>
          <w14:textFill>
            <w14:solidFill>
              <w14:schemeClr w14:val="tx1"/>
            </w14:solidFill>
          </w14:textFill>
        </w:rPr>
        <w:t>正/副本</w:t>
      </w:r>
    </w:p>
    <w:p w14:paraId="3672B889">
      <w:pPr>
        <w:spacing w:line="360" w:lineRule="auto"/>
        <w:jc w:val="center"/>
        <w:rPr>
          <w:rFonts w:hint="eastAsia" w:ascii="Garamond" w:hAnsi="Garamond" w:eastAsia="宋体"/>
          <w:b/>
          <w:color w:val="000000" w:themeColor="text1"/>
          <w:sz w:val="36"/>
          <w:szCs w:val="36"/>
          <w:highlight w:val="none"/>
          <w:lang w:eastAsia="zh-CN"/>
          <w14:textFill>
            <w14:solidFill>
              <w14:schemeClr w14:val="tx1"/>
            </w14:solidFill>
          </w14:textFill>
        </w:rPr>
      </w:pPr>
      <w:r>
        <w:rPr>
          <w:rFonts w:hint="eastAsia" w:ascii="Garamond" w:hAnsi="Garamond"/>
          <w:b/>
          <w:color w:val="000000" w:themeColor="text1"/>
          <w:sz w:val="36"/>
          <w:szCs w:val="36"/>
          <w:highlight w:val="none"/>
          <w:lang w:eastAsia="zh-CN"/>
          <w14:textFill>
            <w14:solidFill>
              <w14:schemeClr w14:val="tx1"/>
            </w14:solidFill>
          </w14:textFill>
        </w:rPr>
        <w:t>525省道（328国道-沪陕高速）快速化改造方案研究项目</w:t>
      </w:r>
    </w:p>
    <w:p w14:paraId="26A4080A">
      <w:pPr>
        <w:spacing w:line="360" w:lineRule="auto"/>
        <w:jc w:val="center"/>
        <w:rPr>
          <w:rFonts w:ascii="Garamond" w:hAnsi="Garamond"/>
          <w:b/>
          <w:color w:val="000000" w:themeColor="text1"/>
          <w:sz w:val="36"/>
          <w:szCs w:val="36"/>
          <w:highlight w:val="none"/>
          <w14:textFill>
            <w14:solidFill>
              <w14:schemeClr w14:val="tx1"/>
            </w14:solidFill>
          </w14:textFill>
        </w:rPr>
      </w:pPr>
      <w:r>
        <w:rPr>
          <w:rFonts w:hint="eastAsia" w:eastAsia="黑体"/>
          <w:b/>
          <w:bCs/>
          <w:color w:val="000000" w:themeColor="text1"/>
          <w:sz w:val="36"/>
          <w:szCs w:val="36"/>
          <w:highlight w:val="none"/>
          <w14:textFill>
            <w14:solidFill>
              <w14:schemeClr w14:val="tx1"/>
            </w14:solidFill>
          </w14:textFill>
        </w:rPr>
        <w:t>（</w:t>
      </w:r>
      <w:r>
        <w:rPr>
          <w:rFonts w:hint="eastAsia" w:eastAsia="黑体"/>
          <w:b/>
          <w:snapToGrid w:val="0"/>
          <w:color w:val="000000" w:themeColor="text1"/>
          <w:kern w:val="0"/>
          <w:sz w:val="36"/>
          <w:szCs w:val="36"/>
          <w:highlight w:val="none"/>
          <w:lang w:eastAsia="zh-CN"/>
          <w14:textFill>
            <w14:solidFill>
              <w14:schemeClr w14:val="tx1"/>
            </w14:solidFill>
          </w14:textFill>
        </w:rPr>
        <w:t>2025GCGZ标段</w:t>
      </w:r>
      <w:r>
        <w:rPr>
          <w:rFonts w:hint="eastAsia" w:eastAsia="黑体"/>
          <w:b/>
          <w:bCs/>
          <w:color w:val="000000" w:themeColor="text1"/>
          <w:sz w:val="36"/>
          <w:szCs w:val="36"/>
          <w:highlight w:val="none"/>
          <w14:textFill>
            <w14:solidFill>
              <w14:schemeClr w14:val="tx1"/>
            </w14:solidFill>
          </w14:textFill>
        </w:rPr>
        <w:t>）</w:t>
      </w:r>
    </w:p>
    <w:p w14:paraId="1CDD3D0C">
      <w:pPr>
        <w:spacing w:line="1100" w:lineRule="exact"/>
        <w:jc w:val="center"/>
        <w:rPr>
          <w:rFonts w:ascii="Garamond" w:hAnsi="Garamond"/>
          <w:b/>
          <w:color w:val="000000" w:themeColor="text1"/>
          <w:sz w:val="52"/>
          <w:szCs w:val="52"/>
          <w:highlight w:val="none"/>
          <w14:textFill>
            <w14:solidFill>
              <w14:schemeClr w14:val="tx1"/>
            </w14:solidFill>
          </w14:textFill>
        </w:rPr>
      </w:pPr>
    </w:p>
    <w:p w14:paraId="464595F3">
      <w:pPr>
        <w:spacing w:line="1100" w:lineRule="exact"/>
        <w:jc w:val="center"/>
        <w:rPr>
          <w:rFonts w:ascii="Garamond" w:hAnsi="Garamond"/>
          <w:b/>
          <w:color w:val="000000" w:themeColor="text1"/>
          <w:sz w:val="52"/>
          <w:szCs w:val="52"/>
          <w:highlight w:val="none"/>
          <w14:textFill>
            <w14:solidFill>
              <w14:schemeClr w14:val="tx1"/>
            </w14:solidFill>
          </w14:textFill>
        </w:rPr>
      </w:pPr>
    </w:p>
    <w:p w14:paraId="3E50BB99">
      <w:pPr>
        <w:spacing w:line="1100" w:lineRule="exact"/>
        <w:jc w:val="center"/>
        <w:rPr>
          <w:rFonts w:ascii="Garamond" w:hAnsi="Garamond"/>
          <w:b/>
          <w:color w:val="000000" w:themeColor="text1"/>
          <w:sz w:val="84"/>
          <w:szCs w:val="84"/>
          <w:highlight w:val="none"/>
          <w14:textFill>
            <w14:solidFill>
              <w14:schemeClr w14:val="tx1"/>
            </w14:solidFill>
          </w14:textFill>
        </w:rPr>
      </w:pPr>
      <w:r>
        <w:rPr>
          <w:rFonts w:ascii="Garamond" w:hAnsi="Garamond"/>
          <w:b/>
          <w:color w:val="000000" w:themeColor="text1"/>
          <w:sz w:val="84"/>
          <w:szCs w:val="84"/>
          <w:highlight w:val="none"/>
          <w14:textFill>
            <w14:solidFill>
              <w14:schemeClr w14:val="tx1"/>
            </w14:solidFill>
          </w14:textFill>
        </w:rPr>
        <w:t>投 标 文 件</w:t>
      </w:r>
    </w:p>
    <w:p w14:paraId="0E17F6D0">
      <w:pPr>
        <w:spacing w:line="1100" w:lineRule="exact"/>
        <w:jc w:val="center"/>
        <w:rPr>
          <w:rFonts w:ascii="Garamond" w:hAnsi="Garamond"/>
          <w:b/>
          <w:color w:val="000000" w:themeColor="text1"/>
          <w:sz w:val="36"/>
          <w:szCs w:val="36"/>
          <w:highlight w:val="none"/>
          <w14:textFill>
            <w14:solidFill>
              <w14:schemeClr w14:val="tx1"/>
            </w14:solidFill>
          </w14:textFill>
        </w:rPr>
      </w:pPr>
      <w:r>
        <w:rPr>
          <w:rFonts w:ascii="Garamond" w:hAnsi="Garamond"/>
          <w:b/>
          <w:color w:val="000000" w:themeColor="text1"/>
          <w:sz w:val="36"/>
          <w:szCs w:val="36"/>
          <w:highlight w:val="none"/>
          <w14:textFill>
            <w14:solidFill>
              <w14:schemeClr w14:val="tx1"/>
            </w14:solidFill>
          </w14:textFill>
        </w:rPr>
        <w:t>第一个信封（商务及技术文件）</w:t>
      </w:r>
    </w:p>
    <w:p w14:paraId="278DD213">
      <w:pPr>
        <w:spacing w:line="1100" w:lineRule="exact"/>
        <w:jc w:val="center"/>
        <w:rPr>
          <w:rFonts w:ascii="Garamond" w:hAnsi="Garamond"/>
          <w:b/>
          <w:color w:val="000000" w:themeColor="text1"/>
          <w:sz w:val="52"/>
          <w:szCs w:val="52"/>
          <w:highlight w:val="none"/>
          <w14:textFill>
            <w14:solidFill>
              <w14:schemeClr w14:val="tx1"/>
            </w14:solidFill>
          </w14:textFill>
        </w:rPr>
      </w:pPr>
    </w:p>
    <w:p w14:paraId="3EE101F6">
      <w:pPr>
        <w:spacing w:line="1100" w:lineRule="exact"/>
        <w:jc w:val="center"/>
        <w:rPr>
          <w:rFonts w:ascii="Garamond" w:hAnsi="Garamond"/>
          <w:b/>
          <w:color w:val="000000" w:themeColor="text1"/>
          <w:sz w:val="52"/>
          <w:szCs w:val="52"/>
          <w:highlight w:val="none"/>
          <w14:textFill>
            <w14:solidFill>
              <w14:schemeClr w14:val="tx1"/>
            </w14:solidFill>
          </w14:textFill>
        </w:rPr>
      </w:pPr>
    </w:p>
    <w:p w14:paraId="79E968FC">
      <w:pPr>
        <w:spacing w:line="1100" w:lineRule="exact"/>
        <w:jc w:val="center"/>
        <w:rPr>
          <w:rFonts w:ascii="Garamond" w:hAnsi="Garamond"/>
          <w:b/>
          <w:color w:val="000000" w:themeColor="text1"/>
          <w:sz w:val="36"/>
          <w:szCs w:val="36"/>
          <w:highlight w:val="none"/>
          <w14:textFill>
            <w14:solidFill>
              <w14:schemeClr w14:val="tx1"/>
            </w14:solidFill>
          </w14:textFill>
        </w:rPr>
      </w:pPr>
      <w:r>
        <w:rPr>
          <w:rFonts w:ascii="Garamond" w:hAnsi="Garamond"/>
          <w:b/>
          <w:color w:val="000000" w:themeColor="text1"/>
          <w:sz w:val="36"/>
          <w:szCs w:val="36"/>
          <w:highlight w:val="none"/>
          <w14:textFill>
            <w14:solidFill>
              <w14:schemeClr w14:val="tx1"/>
            </w14:solidFill>
          </w14:textFill>
        </w:rPr>
        <w:t>投标人：__________（盖单位章）</w:t>
      </w:r>
    </w:p>
    <w:p w14:paraId="18DA62D4">
      <w:pPr>
        <w:spacing w:line="1100" w:lineRule="exact"/>
        <w:jc w:val="center"/>
        <w:rPr>
          <w:rFonts w:ascii="Garamond" w:hAnsi="Garamond"/>
          <w:b/>
          <w:color w:val="000000" w:themeColor="text1"/>
          <w:sz w:val="36"/>
          <w:szCs w:val="36"/>
          <w:highlight w:val="none"/>
          <w14:textFill>
            <w14:solidFill>
              <w14:schemeClr w14:val="tx1"/>
            </w14:solidFill>
          </w14:textFill>
        </w:rPr>
      </w:pPr>
      <w:r>
        <w:rPr>
          <w:rFonts w:ascii="Garamond" w:hAnsi="Garamond"/>
          <w:b/>
          <w:color w:val="000000" w:themeColor="text1"/>
          <w:sz w:val="36"/>
          <w:szCs w:val="36"/>
          <w:highlight w:val="none"/>
          <w14:textFill>
            <w14:solidFill>
              <w14:schemeClr w14:val="tx1"/>
            </w14:solidFill>
          </w14:textFill>
        </w:rPr>
        <w:t>____年____月____日</w:t>
      </w:r>
    </w:p>
    <w:p w14:paraId="19595290">
      <w:pPr>
        <w:spacing w:line="500" w:lineRule="exact"/>
        <w:jc w:val="center"/>
        <w:rPr>
          <w:rFonts w:ascii="Garamond" w:hAnsi="Garamond"/>
          <w:b/>
          <w:color w:val="000000" w:themeColor="text1"/>
          <w:sz w:val="32"/>
          <w:szCs w:val="32"/>
          <w:highlight w:val="none"/>
          <w14:textFill>
            <w14:solidFill>
              <w14:schemeClr w14:val="tx1"/>
            </w14:solidFill>
          </w14:textFill>
        </w:rPr>
      </w:pPr>
      <w:r>
        <w:rPr>
          <w:rFonts w:ascii="Garamond" w:hAnsi="Garamond"/>
          <w:color w:val="000000" w:themeColor="text1"/>
          <w:sz w:val="28"/>
          <w:szCs w:val="28"/>
          <w:highlight w:val="none"/>
          <w14:textFill>
            <w14:solidFill>
              <w14:schemeClr w14:val="tx1"/>
            </w14:solidFill>
          </w14:textFill>
        </w:rPr>
        <w:br w:type="page"/>
      </w:r>
      <w:r>
        <w:rPr>
          <w:rFonts w:ascii="Garamond" w:hAnsi="Garamond"/>
          <w:b/>
          <w:color w:val="000000" w:themeColor="text1"/>
          <w:sz w:val="32"/>
          <w:szCs w:val="32"/>
          <w:highlight w:val="none"/>
          <w14:textFill>
            <w14:solidFill>
              <w14:schemeClr w14:val="tx1"/>
            </w14:solidFill>
          </w14:textFill>
        </w:rPr>
        <w:t>目    录</w:t>
      </w:r>
    </w:p>
    <w:p w14:paraId="55B0B467">
      <w:pPr>
        <w:spacing w:line="380" w:lineRule="exact"/>
        <w:ind w:firstLine="359" w:firstLineChars="171"/>
        <w:rPr>
          <w:rFonts w:ascii="Garamond" w:hAnsi="Garamond"/>
          <w:color w:val="000000" w:themeColor="text1"/>
          <w:highlight w:val="none"/>
          <w14:textFill>
            <w14:solidFill>
              <w14:schemeClr w14:val="tx1"/>
            </w14:solidFill>
          </w14:textFill>
        </w:rPr>
      </w:pPr>
    </w:p>
    <w:p w14:paraId="73D6E08E">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一、投标函和投标函附录；</w:t>
      </w:r>
    </w:p>
    <w:p w14:paraId="2FE2BAFF">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二、法定代表人身份证明或附有法定代表人身份证明的授权委托书；</w:t>
      </w:r>
    </w:p>
    <w:p w14:paraId="6A11BECC">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三、投标保证金；</w:t>
      </w:r>
    </w:p>
    <w:p w14:paraId="33D3CAFC">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四、技术建议书； </w:t>
      </w:r>
    </w:p>
    <w:p w14:paraId="13502D33">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五、资格审查及商务评审资料；</w:t>
      </w:r>
    </w:p>
    <w:p w14:paraId="7A0B7D80">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六、承诺函；</w:t>
      </w:r>
    </w:p>
    <w:p w14:paraId="4CB1F6C3">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七、其他材料。</w:t>
      </w:r>
    </w:p>
    <w:p w14:paraId="69D61D19">
      <w:pPr>
        <w:spacing w:line="360" w:lineRule="auto"/>
        <w:rPr>
          <w:color w:val="000000" w:themeColor="text1"/>
          <w:highlight w:val="none"/>
          <w14:textFill>
            <w14:solidFill>
              <w14:schemeClr w14:val="tx1"/>
            </w14:solidFill>
          </w14:textFill>
        </w:rPr>
      </w:pPr>
    </w:p>
    <w:p w14:paraId="135E17B2">
      <w:pPr>
        <w:rPr>
          <w:rFonts w:ascii="Garamond" w:hAnsi="Garamond"/>
          <w:color w:val="000000" w:themeColor="text1"/>
          <w:sz w:val="18"/>
          <w:szCs w:val="18"/>
          <w:highlight w:val="none"/>
          <w14:textFill>
            <w14:solidFill>
              <w14:schemeClr w14:val="tx1"/>
            </w14:solidFill>
          </w14:textFill>
        </w:rPr>
      </w:pPr>
    </w:p>
    <w:p w14:paraId="3901F72D">
      <w:pPr>
        <w:rPr>
          <w:rFonts w:ascii="Garamond" w:hAnsi="Garamond"/>
          <w:color w:val="000000" w:themeColor="text1"/>
          <w:sz w:val="18"/>
          <w:szCs w:val="18"/>
          <w:highlight w:val="none"/>
          <w14:textFill>
            <w14:solidFill>
              <w14:schemeClr w14:val="tx1"/>
            </w14:solidFill>
          </w14:textFill>
        </w:rPr>
      </w:pPr>
    </w:p>
    <w:p w14:paraId="56E90B9B">
      <w:pPr>
        <w:rPr>
          <w:rFonts w:ascii="Garamond" w:hAnsi="Garamond"/>
          <w:color w:val="000000" w:themeColor="text1"/>
          <w:sz w:val="18"/>
          <w:szCs w:val="18"/>
          <w:highlight w:val="none"/>
          <w14:textFill>
            <w14:solidFill>
              <w14:schemeClr w14:val="tx1"/>
            </w14:solidFill>
          </w14:textFill>
        </w:rPr>
      </w:pPr>
    </w:p>
    <w:p w14:paraId="6DEFAF38">
      <w:pPr>
        <w:rPr>
          <w:rFonts w:ascii="Garamond" w:hAnsi="Garamond"/>
          <w:color w:val="000000" w:themeColor="text1"/>
          <w:sz w:val="18"/>
          <w:szCs w:val="18"/>
          <w:highlight w:val="none"/>
          <w14:textFill>
            <w14:solidFill>
              <w14:schemeClr w14:val="tx1"/>
            </w14:solidFill>
          </w14:textFill>
        </w:rPr>
      </w:pPr>
    </w:p>
    <w:p w14:paraId="6298DE74">
      <w:pPr>
        <w:rPr>
          <w:rFonts w:ascii="Garamond" w:hAnsi="Garamond"/>
          <w:color w:val="000000" w:themeColor="text1"/>
          <w:sz w:val="18"/>
          <w:szCs w:val="18"/>
          <w:highlight w:val="none"/>
          <w14:textFill>
            <w14:solidFill>
              <w14:schemeClr w14:val="tx1"/>
            </w14:solidFill>
          </w14:textFill>
        </w:rPr>
      </w:pPr>
    </w:p>
    <w:p w14:paraId="1DED032C">
      <w:pPr>
        <w:rPr>
          <w:rFonts w:ascii="Garamond" w:hAnsi="Garamond"/>
          <w:color w:val="000000" w:themeColor="text1"/>
          <w:sz w:val="18"/>
          <w:szCs w:val="18"/>
          <w:highlight w:val="none"/>
          <w14:textFill>
            <w14:solidFill>
              <w14:schemeClr w14:val="tx1"/>
            </w14:solidFill>
          </w14:textFill>
        </w:rPr>
      </w:pPr>
    </w:p>
    <w:p w14:paraId="7E51B1D1">
      <w:pPr>
        <w:rPr>
          <w:rFonts w:ascii="Garamond" w:hAnsi="Garamond"/>
          <w:color w:val="000000" w:themeColor="text1"/>
          <w:sz w:val="18"/>
          <w:szCs w:val="18"/>
          <w:highlight w:val="none"/>
          <w14:textFill>
            <w14:solidFill>
              <w14:schemeClr w14:val="tx1"/>
            </w14:solidFill>
          </w14:textFill>
        </w:rPr>
      </w:pPr>
    </w:p>
    <w:p w14:paraId="11A975F5">
      <w:pPr>
        <w:rPr>
          <w:rFonts w:ascii="Garamond" w:hAnsi="Garamond"/>
          <w:color w:val="000000" w:themeColor="text1"/>
          <w:sz w:val="18"/>
          <w:szCs w:val="18"/>
          <w:highlight w:val="none"/>
          <w14:textFill>
            <w14:solidFill>
              <w14:schemeClr w14:val="tx1"/>
            </w14:solidFill>
          </w14:textFill>
        </w:rPr>
      </w:pPr>
    </w:p>
    <w:p w14:paraId="04720B9C">
      <w:pPr>
        <w:rPr>
          <w:rFonts w:ascii="Garamond" w:hAnsi="Garamond"/>
          <w:color w:val="000000" w:themeColor="text1"/>
          <w:sz w:val="18"/>
          <w:szCs w:val="18"/>
          <w:highlight w:val="none"/>
          <w14:textFill>
            <w14:solidFill>
              <w14:schemeClr w14:val="tx1"/>
            </w14:solidFill>
          </w14:textFill>
        </w:rPr>
      </w:pPr>
    </w:p>
    <w:p w14:paraId="7D7C5AE6">
      <w:pPr>
        <w:rPr>
          <w:rFonts w:ascii="Garamond" w:hAnsi="Garamond"/>
          <w:color w:val="000000" w:themeColor="text1"/>
          <w:sz w:val="18"/>
          <w:szCs w:val="18"/>
          <w:highlight w:val="none"/>
          <w14:textFill>
            <w14:solidFill>
              <w14:schemeClr w14:val="tx1"/>
            </w14:solidFill>
          </w14:textFill>
        </w:rPr>
      </w:pPr>
    </w:p>
    <w:p w14:paraId="1166D1D1">
      <w:pPr>
        <w:rPr>
          <w:rFonts w:ascii="Garamond" w:hAnsi="Garamond"/>
          <w:color w:val="000000" w:themeColor="text1"/>
          <w:sz w:val="18"/>
          <w:szCs w:val="18"/>
          <w:highlight w:val="none"/>
          <w14:textFill>
            <w14:solidFill>
              <w14:schemeClr w14:val="tx1"/>
            </w14:solidFill>
          </w14:textFill>
        </w:rPr>
      </w:pPr>
    </w:p>
    <w:p w14:paraId="6CF5163A">
      <w:pPr>
        <w:rPr>
          <w:rFonts w:ascii="Garamond" w:hAnsi="Garamond"/>
          <w:color w:val="000000" w:themeColor="text1"/>
          <w:sz w:val="18"/>
          <w:szCs w:val="18"/>
          <w:highlight w:val="none"/>
          <w14:textFill>
            <w14:solidFill>
              <w14:schemeClr w14:val="tx1"/>
            </w14:solidFill>
          </w14:textFill>
        </w:rPr>
      </w:pPr>
    </w:p>
    <w:p w14:paraId="2BF258CF">
      <w:pPr>
        <w:rPr>
          <w:rFonts w:ascii="Garamond" w:hAnsi="Garamond"/>
          <w:color w:val="000000" w:themeColor="text1"/>
          <w:sz w:val="18"/>
          <w:szCs w:val="18"/>
          <w:highlight w:val="none"/>
          <w14:textFill>
            <w14:solidFill>
              <w14:schemeClr w14:val="tx1"/>
            </w14:solidFill>
          </w14:textFill>
        </w:rPr>
      </w:pPr>
    </w:p>
    <w:p w14:paraId="75E2F942">
      <w:pPr>
        <w:rPr>
          <w:rFonts w:ascii="Garamond" w:hAnsi="Garamond"/>
          <w:color w:val="000000" w:themeColor="text1"/>
          <w:sz w:val="18"/>
          <w:szCs w:val="18"/>
          <w:highlight w:val="none"/>
          <w14:textFill>
            <w14:solidFill>
              <w14:schemeClr w14:val="tx1"/>
            </w14:solidFill>
          </w14:textFill>
        </w:rPr>
      </w:pPr>
    </w:p>
    <w:p w14:paraId="756919A8">
      <w:pPr>
        <w:rPr>
          <w:rFonts w:ascii="Garamond" w:hAnsi="Garamond"/>
          <w:color w:val="000000" w:themeColor="text1"/>
          <w:sz w:val="18"/>
          <w:szCs w:val="18"/>
          <w:highlight w:val="none"/>
          <w14:textFill>
            <w14:solidFill>
              <w14:schemeClr w14:val="tx1"/>
            </w14:solidFill>
          </w14:textFill>
        </w:rPr>
      </w:pPr>
    </w:p>
    <w:p w14:paraId="380BC4C0">
      <w:pPr>
        <w:rPr>
          <w:rFonts w:ascii="Garamond" w:hAnsi="Garamond"/>
          <w:color w:val="000000" w:themeColor="text1"/>
          <w:sz w:val="18"/>
          <w:szCs w:val="18"/>
          <w:highlight w:val="none"/>
          <w14:textFill>
            <w14:solidFill>
              <w14:schemeClr w14:val="tx1"/>
            </w14:solidFill>
          </w14:textFill>
        </w:rPr>
      </w:pPr>
    </w:p>
    <w:p w14:paraId="3B1EC770">
      <w:pPr>
        <w:rPr>
          <w:rFonts w:ascii="Garamond" w:hAnsi="Garamond"/>
          <w:color w:val="000000" w:themeColor="text1"/>
          <w:sz w:val="18"/>
          <w:szCs w:val="18"/>
          <w:highlight w:val="none"/>
          <w14:textFill>
            <w14:solidFill>
              <w14:schemeClr w14:val="tx1"/>
            </w14:solidFill>
          </w14:textFill>
        </w:rPr>
      </w:pPr>
    </w:p>
    <w:p w14:paraId="24D79DFC">
      <w:pPr>
        <w:rPr>
          <w:rFonts w:ascii="Garamond" w:hAnsi="Garamond"/>
          <w:color w:val="000000" w:themeColor="text1"/>
          <w:sz w:val="18"/>
          <w:szCs w:val="18"/>
          <w:highlight w:val="none"/>
          <w14:textFill>
            <w14:solidFill>
              <w14:schemeClr w14:val="tx1"/>
            </w14:solidFill>
          </w14:textFill>
        </w:rPr>
      </w:pPr>
    </w:p>
    <w:p w14:paraId="4F76AA45">
      <w:pPr>
        <w:rPr>
          <w:rFonts w:ascii="Garamond" w:hAnsi="Garamond"/>
          <w:color w:val="000000" w:themeColor="text1"/>
          <w:sz w:val="18"/>
          <w:szCs w:val="18"/>
          <w:highlight w:val="none"/>
          <w14:textFill>
            <w14:solidFill>
              <w14:schemeClr w14:val="tx1"/>
            </w14:solidFill>
          </w14:textFill>
        </w:rPr>
      </w:pPr>
    </w:p>
    <w:p w14:paraId="4A5FE56D">
      <w:pPr>
        <w:rPr>
          <w:rFonts w:ascii="Garamond" w:hAnsi="Garamond"/>
          <w:color w:val="000000" w:themeColor="text1"/>
          <w:sz w:val="18"/>
          <w:szCs w:val="18"/>
          <w:highlight w:val="none"/>
          <w14:textFill>
            <w14:solidFill>
              <w14:schemeClr w14:val="tx1"/>
            </w14:solidFill>
          </w14:textFill>
        </w:rPr>
      </w:pPr>
    </w:p>
    <w:p w14:paraId="372A38A4">
      <w:pPr>
        <w:rPr>
          <w:rFonts w:ascii="Garamond" w:hAnsi="Garamond"/>
          <w:color w:val="000000" w:themeColor="text1"/>
          <w:sz w:val="18"/>
          <w:szCs w:val="18"/>
          <w:highlight w:val="none"/>
          <w14:textFill>
            <w14:solidFill>
              <w14:schemeClr w14:val="tx1"/>
            </w14:solidFill>
          </w14:textFill>
        </w:rPr>
      </w:pPr>
    </w:p>
    <w:p w14:paraId="27D3AE23">
      <w:pPr>
        <w:rPr>
          <w:rFonts w:ascii="Garamond" w:hAnsi="Garamond"/>
          <w:color w:val="000000" w:themeColor="text1"/>
          <w:sz w:val="18"/>
          <w:szCs w:val="18"/>
          <w:highlight w:val="none"/>
          <w14:textFill>
            <w14:solidFill>
              <w14:schemeClr w14:val="tx1"/>
            </w14:solidFill>
          </w14:textFill>
        </w:rPr>
      </w:pPr>
    </w:p>
    <w:p w14:paraId="4A000E74">
      <w:pPr>
        <w:rPr>
          <w:rFonts w:ascii="Garamond" w:hAnsi="Garamond"/>
          <w:color w:val="000000" w:themeColor="text1"/>
          <w:sz w:val="18"/>
          <w:szCs w:val="18"/>
          <w:highlight w:val="none"/>
          <w14:textFill>
            <w14:solidFill>
              <w14:schemeClr w14:val="tx1"/>
            </w14:solidFill>
          </w14:textFill>
        </w:rPr>
      </w:pPr>
    </w:p>
    <w:p w14:paraId="40FD3059">
      <w:pPr>
        <w:rPr>
          <w:rFonts w:ascii="Garamond" w:hAnsi="Garamond"/>
          <w:color w:val="000000" w:themeColor="text1"/>
          <w:sz w:val="18"/>
          <w:szCs w:val="18"/>
          <w:highlight w:val="none"/>
          <w14:textFill>
            <w14:solidFill>
              <w14:schemeClr w14:val="tx1"/>
            </w14:solidFill>
          </w14:textFill>
        </w:rPr>
      </w:pPr>
    </w:p>
    <w:p w14:paraId="2CA7FB07">
      <w:pPr>
        <w:ind w:firstLine="180" w:firstLineChars="100"/>
        <w:rPr>
          <w:rFonts w:ascii="Garamond" w:hAnsi="Garamond"/>
          <w:color w:val="000000" w:themeColor="text1"/>
          <w:sz w:val="18"/>
          <w:szCs w:val="18"/>
          <w:highlight w:val="none"/>
          <w14:textFill>
            <w14:solidFill>
              <w14:schemeClr w14:val="tx1"/>
            </w14:solidFill>
          </w14:textFill>
        </w:rPr>
      </w:pPr>
    </w:p>
    <w:p w14:paraId="67B2224C">
      <w:pPr>
        <w:pStyle w:val="4"/>
        <w:jc w:val="center"/>
        <w:rPr>
          <w:rFonts w:ascii="Garamond" w:hAnsi="Garamond"/>
          <w:color w:val="000000" w:themeColor="text1"/>
          <w:sz w:val="28"/>
          <w:szCs w:val="28"/>
          <w:highlight w:val="none"/>
          <w14:textFill>
            <w14:solidFill>
              <w14:schemeClr w14:val="tx1"/>
            </w14:solidFill>
          </w14:textFill>
        </w:rPr>
      </w:pPr>
      <w:r>
        <w:rPr>
          <w:rFonts w:ascii="Garamond" w:hAnsi="Garamond"/>
          <w:b w:val="0"/>
          <w:color w:val="000000" w:themeColor="text1"/>
          <w:sz w:val="24"/>
          <w:highlight w:val="none"/>
          <w14:textFill>
            <w14:solidFill>
              <w14:schemeClr w14:val="tx1"/>
            </w14:solidFill>
          </w14:textFill>
        </w:rPr>
        <w:br w:type="page"/>
      </w:r>
      <w:r>
        <w:rPr>
          <w:rFonts w:ascii="Garamond" w:hAnsi="Garamond"/>
          <w:color w:val="000000" w:themeColor="text1"/>
          <w:sz w:val="28"/>
          <w:szCs w:val="28"/>
          <w:highlight w:val="none"/>
          <w14:textFill>
            <w14:solidFill>
              <w14:schemeClr w14:val="tx1"/>
            </w14:solidFill>
          </w14:textFill>
        </w:rPr>
        <w:t xml:space="preserve"> 一、投标函</w:t>
      </w:r>
    </w:p>
    <w:p w14:paraId="07DA2808">
      <w:pPr>
        <w:spacing w:line="360" w:lineRule="auto"/>
        <w:rPr>
          <w:rFonts w:ascii="Garamond" w:hAnsi="Garamond"/>
          <w:b/>
          <w:color w:val="000000" w:themeColor="text1"/>
          <w:szCs w:val="21"/>
          <w:highlight w:val="none"/>
          <w14:textFill>
            <w14:solidFill>
              <w14:schemeClr w14:val="tx1"/>
            </w14:solidFill>
          </w14:textFill>
        </w:rPr>
      </w:pPr>
      <w:r>
        <w:rPr>
          <w:rFonts w:ascii="Garamond" w:hAnsi="Garamond"/>
          <w:b/>
          <w:color w:val="000000" w:themeColor="text1"/>
          <w:szCs w:val="21"/>
          <w:highlight w:val="none"/>
          <w:u w:val="single"/>
          <w14:textFill>
            <w14:solidFill>
              <w14:schemeClr w14:val="tx1"/>
            </w14:solidFill>
          </w14:textFill>
        </w:rPr>
        <w:t>南通市公路事业发展中心</w:t>
      </w:r>
      <w:r>
        <w:rPr>
          <w:rFonts w:ascii="Garamond" w:hAnsi="Garamond"/>
          <w:b/>
          <w:color w:val="000000" w:themeColor="text1"/>
          <w:szCs w:val="21"/>
          <w:highlight w:val="none"/>
          <w14:textFill>
            <w14:solidFill>
              <w14:schemeClr w14:val="tx1"/>
            </w14:solidFill>
          </w14:textFill>
        </w:rPr>
        <w:t>：</w:t>
      </w:r>
    </w:p>
    <w:p w14:paraId="17EC33AA">
      <w:pPr>
        <w:spacing w:line="360" w:lineRule="auto"/>
        <w:ind w:firstLine="420" w:firstLineChars="200"/>
        <w:rPr>
          <w:rFonts w:ascii="宋体" w:hAnsi="宋体"/>
          <w:szCs w:val="21"/>
          <w:highlight w:val="none"/>
        </w:rPr>
      </w:pPr>
      <w:r>
        <w:rPr>
          <w:rFonts w:ascii="宋体" w:hAnsi="宋体"/>
          <w:szCs w:val="21"/>
          <w:highlight w:val="none"/>
        </w:rPr>
        <w:t>1、我方在仔细研究了</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（项目名称）</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标段）的招标文件并了解该项目基本情况后，决定参加该项目投标。在此郑重表示，我们愿意按照招标文件确定的投入力量和工作方案、遵照招标文件规定的责任和义务、并以投标文件第二信封报价函上的投标总价，承担本项目的服务工作。</w:t>
      </w:r>
    </w:p>
    <w:p w14:paraId="1EFBADA8">
      <w:pPr>
        <w:spacing w:line="360" w:lineRule="auto"/>
        <w:ind w:firstLine="420" w:firstLineChars="200"/>
        <w:rPr>
          <w:rFonts w:ascii="宋体" w:hAnsi="宋体"/>
          <w:szCs w:val="21"/>
          <w:highlight w:val="none"/>
        </w:rPr>
      </w:pPr>
      <w:r>
        <w:rPr>
          <w:rFonts w:ascii="宋体" w:hAnsi="宋体"/>
          <w:szCs w:val="21"/>
          <w:highlight w:val="none"/>
        </w:rPr>
        <w:t>2、</w:t>
      </w:r>
      <w:r>
        <w:rPr>
          <w:rFonts w:hint="eastAsia" w:ascii="宋体" w:hAnsi="宋体"/>
          <w:szCs w:val="21"/>
          <w:highlight w:val="none"/>
        </w:rPr>
        <w:t>我单位一旦中选，将保证按本投标文件配备的人员提供服务，即</w:t>
      </w:r>
    </w:p>
    <w:p w14:paraId="2C88C59D">
      <w:pPr>
        <w:spacing w:line="360" w:lineRule="auto"/>
        <w:ind w:firstLine="420" w:firstLineChars="200"/>
        <w:rPr>
          <w:rFonts w:ascii="宋体" w:hAnsi="宋体"/>
          <w:szCs w:val="21"/>
          <w:highlight w:val="none"/>
        </w:rPr>
      </w:pPr>
      <w:r>
        <w:rPr>
          <w:rFonts w:hint="eastAsia" w:ascii="宋体" w:hAnsi="宋体"/>
          <w:szCs w:val="21"/>
          <w:highlight w:val="none"/>
        </w:rPr>
        <w:t>（1）</w:t>
      </w:r>
      <w:r>
        <w:rPr>
          <w:rFonts w:ascii="宋体" w:hAnsi="宋体"/>
          <w:szCs w:val="21"/>
          <w:highlight w:val="none"/>
        </w:rPr>
        <w:t>项目负责人：</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w:t>
      </w:r>
      <w:r>
        <w:rPr>
          <w:rFonts w:hint="eastAsia" w:ascii="宋体" w:hAnsi="宋体"/>
          <w:szCs w:val="21"/>
          <w:highlight w:val="none"/>
        </w:rPr>
        <w:t>职称</w:t>
      </w:r>
      <w:r>
        <w:rPr>
          <w:rFonts w:ascii="宋体" w:hAnsi="宋体"/>
          <w:szCs w:val="21"/>
          <w:highlight w:val="none"/>
        </w:rPr>
        <w:t>：</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,身份证号为</w:t>
      </w:r>
      <w:r>
        <w:rPr>
          <w:rFonts w:hint="eastAsia" w:ascii="宋体" w:hAnsi="宋体"/>
          <w:szCs w:val="21"/>
          <w:highlight w:val="none"/>
          <w:u w:val="single"/>
        </w:rPr>
        <w:t xml:space="preserve"> </w:t>
      </w:r>
      <w:r>
        <w:rPr>
          <w:rFonts w:ascii="宋体" w:hAnsi="宋体"/>
          <w:szCs w:val="21"/>
          <w:highlight w:val="none"/>
          <w:u w:val="single"/>
        </w:rPr>
        <w:t xml:space="preserve">     </w:t>
      </w:r>
      <w:r>
        <w:rPr>
          <w:rFonts w:hint="eastAsia" w:ascii="宋体" w:hAnsi="宋体"/>
          <w:szCs w:val="21"/>
          <w:highlight w:val="none"/>
        </w:rPr>
        <w:t>；</w:t>
      </w:r>
    </w:p>
    <w:p w14:paraId="7EC33B39">
      <w:pPr>
        <w:spacing w:line="360" w:lineRule="auto"/>
        <w:ind w:firstLine="420" w:firstLineChars="200"/>
        <w:rPr>
          <w:rFonts w:ascii="宋体" w:hAnsi="宋体"/>
          <w:szCs w:val="21"/>
          <w:highlight w:val="none"/>
        </w:rPr>
      </w:pPr>
      <w:r>
        <w:rPr>
          <w:rFonts w:ascii="宋体" w:hAnsi="宋体"/>
          <w:szCs w:val="21"/>
          <w:highlight w:val="none"/>
        </w:rPr>
        <w:t>3、计划服务周期：</w:t>
      </w:r>
      <w:r>
        <w:rPr>
          <w:rFonts w:hint="eastAsia" w:ascii="宋体" w:hAnsi="宋体"/>
          <w:szCs w:val="21"/>
          <w:highlight w:val="none"/>
          <w:u w:val="single"/>
        </w:rPr>
        <w:t xml:space="preserve">       </w:t>
      </w:r>
      <w:r>
        <w:rPr>
          <w:rFonts w:ascii="宋体" w:hAnsi="宋体"/>
          <w:szCs w:val="21"/>
          <w:highlight w:val="none"/>
        </w:rPr>
        <w:t xml:space="preserve">。  </w:t>
      </w:r>
    </w:p>
    <w:p w14:paraId="6216FB09">
      <w:pPr>
        <w:spacing w:line="360" w:lineRule="auto"/>
        <w:ind w:firstLine="420" w:firstLineChars="200"/>
        <w:rPr>
          <w:rFonts w:ascii="宋体" w:hAnsi="宋体"/>
          <w:szCs w:val="21"/>
          <w:highlight w:val="none"/>
        </w:rPr>
      </w:pPr>
      <w:r>
        <w:rPr>
          <w:rFonts w:hint="eastAsia" w:ascii="宋体" w:hAnsi="宋体"/>
          <w:szCs w:val="21"/>
          <w:highlight w:val="none"/>
        </w:rPr>
        <w:t>4</w:t>
      </w:r>
      <w:r>
        <w:rPr>
          <w:rFonts w:ascii="宋体" w:hAnsi="宋体"/>
          <w:szCs w:val="21"/>
          <w:highlight w:val="none"/>
        </w:rPr>
        <w:t>、我方同意所递交的投标文件在“投标人须知”前附表规定的投标有效期内有效，在此期限届满之前，本投标函将始终对我方具有约束力，并随时接受中选。</w:t>
      </w:r>
    </w:p>
    <w:p w14:paraId="2ED98288">
      <w:pPr>
        <w:spacing w:line="360" w:lineRule="auto"/>
        <w:ind w:firstLine="420" w:firstLineChars="200"/>
        <w:rPr>
          <w:rFonts w:ascii="宋体" w:hAnsi="宋体"/>
          <w:szCs w:val="21"/>
          <w:highlight w:val="none"/>
        </w:rPr>
      </w:pPr>
      <w:r>
        <w:rPr>
          <w:rFonts w:hint="eastAsia" w:ascii="宋体" w:hAnsi="宋体"/>
          <w:szCs w:val="21"/>
          <w:highlight w:val="none"/>
        </w:rPr>
        <w:t>5</w:t>
      </w:r>
      <w:r>
        <w:rPr>
          <w:rFonts w:ascii="宋体" w:hAnsi="宋体"/>
          <w:szCs w:val="21"/>
          <w:highlight w:val="none"/>
        </w:rPr>
        <w:t>、如果你单位接受我们的投标文件，我们保证按照投标文件的约定及时与你方按招标文件中服务合同的格式及内容签署服务合同。</w:t>
      </w:r>
    </w:p>
    <w:p w14:paraId="78AB65C6">
      <w:pPr>
        <w:spacing w:line="360" w:lineRule="auto"/>
        <w:ind w:firstLine="420" w:firstLineChars="200"/>
        <w:rPr>
          <w:rFonts w:ascii="宋体" w:hAnsi="宋体"/>
          <w:szCs w:val="21"/>
          <w:highlight w:val="none"/>
        </w:rPr>
      </w:pPr>
      <w:r>
        <w:rPr>
          <w:rFonts w:hint="eastAsia" w:ascii="宋体" w:hAnsi="宋体"/>
          <w:szCs w:val="21"/>
          <w:highlight w:val="none"/>
        </w:rPr>
        <w:t>6</w:t>
      </w:r>
      <w:r>
        <w:rPr>
          <w:rFonts w:ascii="宋体" w:hAnsi="宋体"/>
          <w:szCs w:val="21"/>
          <w:highlight w:val="none"/>
        </w:rPr>
        <w:t>、除非另外达成协议并生效，你方的招标文件、中标通知书和本投标文件将构成约束我们双方的合同。</w:t>
      </w:r>
    </w:p>
    <w:p w14:paraId="09E2262A">
      <w:pPr>
        <w:spacing w:line="360" w:lineRule="auto"/>
        <w:ind w:firstLine="420"/>
        <w:rPr>
          <w:rFonts w:ascii="宋体" w:hAnsi="宋体" w:cs="宋体"/>
          <w:color w:val="000000" w:themeColor="text1"/>
          <w:szCs w:val="21"/>
          <w:highlight w:val="none"/>
          <w14:textFill>
            <w14:solidFill>
              <w14:schemeClr w14:val="tx1"/>
            </w14:solidFill>
          </w14:textFill>
        </w:rPr>
      </w:pPr>
      <w:r>
        <w:rPr>
          <w:rFonts w:ascii="宋体" w:hAnsi="宋体"/>
          <w:szCs w:val="21"/>
          <w:highlight w:val="none"/>
        </w:rPr>
        <w:t>7</w:t>
      </w:r>
      <w:r>
        <w:rPr>
          <w:rFonts w:hint="eastAsia" w:ascii="宋体" w:hAnsi="宋体"/>
          <w:szCs w:val="21"/>
          <w:highlight w:val="none"/>
        </w:rPr>
        <w:t>、</w:t>
      </w:r>
      <w:r>
        <w:rPr>
          <w:rFonts w:hint="eastAsia" w:ascii="宋体" w:hAnsi="宋体"/>
          <w:szCs w:val="21"/>
          <w:highlight w:val="none"/>
          <w:u w:val="single"/>
        </w:rPr>
        <w:t xml:space="preserve"> </w:t>
      </w:r>
      <w:r>
        <w:rPr>
          <w:rFonts w:ascii="宋体" w:hAnsi="宋体"/>
          <w:szCs w:val="21"/>
          <w:highlight w:val="none"/>
          <w:u w:val="single"/>
        </w:rPr>
        <w:t xml:space="preserve">     </w:t>
      </w:r>
      <w:r>
        <w:rPr>
          <w:rFonts w:ascii="宋体" w:hAnsi="宋体"/>
          <w:szCs w:val="21"/>
          <w:highlight w:val="none"/>
        </w:rPr>
        <w:t>（其他补充说明）。</w:t>
      </w:r>
    </w:p>
    <w:p w14:paraId="0788EF65">
      <w:pPr>
        <w:spacing w:line="360" w:lineRule="auto"/>
        <w:rPr>
          <w:rFonts w:ascii="Garamond" w:hAnsi="Garamond"/>
          <w:color w:val="000000" w:themeColor="text1"/>
          <w:szCs w:val="21"/>
          <w:highlight w:val="none"/>
          <w14:textFill>
            <w14:solidFill>
              <w14:schemeClr w14:val="tx1"/>
            </w14:solidFill>
          </w14:textFill>
        </w:rPr>
      </w:pPr>
    </w:p>
    <w:p w14:paraId="269FC50D">
      <w:pPr>
        <w:spacing w:line="360" w:lineRule="auto"/>
        <w:rPr>
          <w:rFonts w:ascii="Garamond" w:hAnsi="Garamond"/>
          <w:color w:val="000000" w:themeColor="text1"/>
          <w:szCs w:val="21"/>
          <w:highlight w:val="none"/>
          <w14:textFill>
            <w14:solidFill>
              <w14:schemeClr w14:val="tx1"/>
            </w14:solidFill>
          </w14:textFill>
        </w:rPr>
      </w:pPr>
    </w:p>
    <w:p w14:paraId="7C904747">
      <w:pPr>
        <w:spacing w:line="360" w:lineRule="auto"/>
        <w:jc w:val="lef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投标人（盖单位章）：</w:t>
      </w:r>
    </w:p>
    <w:p w14:paraId="6DFB3C8C">
      <w:pPr>
        <w:spacing w:line="360" w:lineRule="auto"/>
        <w:jc w:val="lef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法定代表人或其委托代理人</w:t>
      </w:r>
      <w:r>
        <w:rPr>
          <w:rFonts w:hint="eastAsia" w:ascii="宋体" w:hAnsi="宋体" w:cs="宋体"/>
          <w:color w:val="000000" w:themeColor="text1"/>
          <w:szCs w:val="21"/>
          <w:highlight w:val="none"/>
          <w14:textFill>
            <w14:solidFill>
              <w14:schemeClr w14:val="tx1"/>
            </w14:solidFill>
          </w14:textFill>
        </w:rPr>
        <w:t>（签名或使用印章、签名章）</w:t>
      </w:r>
      <w:r>
        <w:rPr>
          <w:rFonts w:ascii="Garamond" w:hAnsi="Garamond"/>
          <w:color w:val="000000" w:themeColor="text1"/>
          <w:szCs w:val="21"/>
          <w:highlight w:val="none"/>
          <w14:textFill>
            <w14:solidFill>
              <w14:schemeClr w14:val="tx1"/>
            </w14:solidFill>
          </w14:textFill>
        </w:rPr>
        <w:t>：</w:t>
      </w:r>
    </w:p>
    <w:p w14:paraId="658BB53B">
      <w:pPr>
        <w:spacing w:line="360" w:lineRule="auto"/>
        <w:jc w:val="lef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地址：</w:t>
      </w:r>
    </w:p>
    <w:p w14:paraId="592501C2">
      <w:pPr>
        <w:spacing w:line="360" w:lineRule="auto"/>
        <w:jc w:val="lef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电话：</w:t>
      </w:r>
    </w:p>
    <w:p w14:paraId="7B89922E">
      <w:pPr>
        <w:spacing w:line="360" w:lineRule="auto"/>
        <w:jc w:val="lef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传真：</w:t>
      </w:r>
    </w:p>
    <w:p w14:paraId="597CF501">
      <w:pPr>
        <w:spacing w:line="360" w:lineRule="auto"/>
        <w:jc w:val="lef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邮政编码：</w:t>
      </w:r>
    </w:p>
    <w:p w14:paraId="2E90FB54">
      <w:pPr>
        <w:spacing w:line="360" w:lineRule="auto"/>
        <w:ind w:firstLine="1575" w:firstLineChars="750"/>
        <w:jc w:val="lef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_______年_____月_______日</w:t>
      </w:r>
    </w:p>
    <w:p w14:paraId="5342D90C">
      <w:pPr>
        <w:jc w:val="lef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br w:type="page"/>
      </w:r>
    </w:p>
    <w:p w14:paraId="400D7C60">
      <w:pPr>
        <w:spacing w:line="360" w:lineRule="auto"/>
        <w:ind w:firstLine="1575" w:firstLineChars="750"/>
        <w:jc w:val="right"/>
        <w:rPr>
          <w:rFonts w:ascii="Garamond" w:hAnsi="Garamond"/>
          <w:color w:val="000000" w:themeColor="text1"/>
          <w:szCs w:val="21"/>
          <w:highlight w:val="none"/>
          <w14:textFill>
            <w14:solidFill>
              <w14:schemeClr w14:val="tx1"/>
            </w14:solidFill>
          </w14:textFill>
        </w:rPr>
        <w:sectPr>
          <w:pgSz w:w="11906" w:h="16838"/>
          <w:pgMar w:top="1417" w:right="1247" w:bottom="1417" w:left="1417" w:header="851" w:footer="680" w:gutter="0"/>
          <w:pgNumType w:fmt="decimal"/>
          <w:cols w:space="0" w:num="1"/>
          <w:docGrid w:linePitch="312" w:charSpace="0"/>
        </w:sectPr>
      </w:pPr>
    </w:p>
    <w:p w14:paraId="12F72EDE">
      <w:pPr>
        <w:pStyle w:val="4"/>
        <w:jc w:val="center"/>
        <w:rPr>
          <w:rFonts w:ascii="Garamond" w:hAnsi="Garamond"/>
          <w:color w:val="000000" w:themeColor="text1"/>
          <w:sz w:val="28"/>
          <w:szCs w:val="28"/>
          <w:highlight w:val="none"/>
          <w14:textFill>
            <w14:solidFill>
              <w14:schemeClr w14:val="tx1"/>
            </w14:solidFill>
          </w14:textFill>
        </w:rPr>
      </w:pPr>
      <w:r>
        <w:rPr>
          <w:rFonts w:ascii="Garamond" w:hAnsi="Garamond"/>
          <w:color w:val="000000" w:themeColor="text1"/>
          <w:sz w:val="28"/>
          <w:szCs w:val="28"/>
          <w:highlight w:val="none"/>
          <w14:textFill>
            <w14:solidFill>
              <w14:schemeClr w14:val="tx1"/>
            </w14:solidFill>
          </w14:textFill>
        </w:rPr>
        <w:t>二、法定代表人身份证明及授权委托书</w:t>
      </w:r>
    </w:p>
    <w:p w14:paraId="56EAF3AF">
      <w:pPr>
        <w:spacing w:line="360" w:lineRule="auto"/>
        <w:jc w:val="center"/>
        <w:rPr>
          <w:rFonts w:ascii="Garamond" w:hAnsi="Garamond"/>
          <w:b/>
          <w:color w:val="000000" w:themeColor="text1"/>
          <w:sz w:val="24"/>
          <w:highlight w:val="none"/>
          <w14:textFill>
            <w14:solidFill>
              <w14:schemeClr w14:val="tx1"/>
            </w14:solidFill>
          </w14:textFill>
        </w:rPr>
      </w:pPr>
      <w:r>
        <w:rPr>
          <w:rFonts w:ascii="Garamond" w:hAnsi="Garamond"/>
          <w:b/>
          <w:color w:val="000000" w:themeColor="text1"/>
          <w:sz w:val="24"/>
          <w:highlight w:val="none"/>
          <w14:textFill>
            <w14:solidFill>
              <w14:schemeClr w14:val="tx1"/>
            </w14:solidFill>
          </w14:textFill>
        </w:rPr>
        <w:t>（一）法定代表人身份证明</w:t>
      </w:r>
    </w:p>
    <w:p w14:paraId="680EF015">
      <w:pPr>
        <w:spacing w:line="340" w:lineRule="exact"/>
        <w:jc w:val="right"/>
        <w:rPr>
          <w:rFonts w:ascii="Garamond" w:hAnsi="Garamond"/>
          <w:color w:val="000000" w:themeColor="text1"/>
          <w:sz w:val="24"/>
          <w:highlight w:val="none"/>
          <w14:textFill>
            <w14:solidFill>
              <w14:schemeClr w14:val="tx1"/>
            </w14:solidFill>
          </w14:textFill>
        </w:rPr>
      </w:pPr>
    </w:p>
    <w:p w14:paraId="1BFBB46E">
      <w:pPr>
        <w:spacing w:line="360" w:lineRule="auto"/>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投标人名称：_____________________</w:t>
      </w:r>
    </w:p>
    <w:p w14:paraId="65A390E5">
      <w:pPr>
        <w:spacing w:line="360" w:lineRule="auto"/>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单位性质：_______________________</w:t>
      </w:r>
    </w:p>
    <w:p w14:paraId="4BF877DD">
      <w:pPr>
        <w:spacing w:line="360" w:lineRule="auto"/>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地    址：_______________________</w:t>
      </w:r>
    </w:p>
    <w:p w14:paraId="57064965">
      <w:pPr>
        <w:spacing w:line="360" w:lineRule="auto"/>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成立时间:____年___月___日</w:t>
      </w:r>
    </w:p>
    <w:p w14:paraId="3EC4A9C7">
      <w:pPr>
        <w:spacing w:line="360" w:lineRule="auto"/>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经营期限：_______________________</w:t>
      </w:r>
    </w:p>
    <w:p w14:paraId="3EC97586">
      <w:pPr>
        <w:spacing w:line="360" w:lineRule="auto"/>
        <w:ind w:firstLine="420" w:firstLineChars="200"/>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姓名：</w:t>
      </w:r>
      <w:r>
        <w:rPr>
          <w:rFonts w:ascii="Garamond" w:hAnsi="Garamond"/>
          <w:color w:val="000000" w:themeColor="text1"/>
          <w:szCs w:val="21"/>
          <w:highlight w:val="none"/>
          <w:u w:val="single"/>
          <w14:textFill>
            <w14:solidFill>
              <w14:schemeClr w14:val="tx1"/>
            </w14:solidFill>
          </w14:textFill>
        </w:rPr>
        <w:t xml:space="preserve">  （法定代表人签名</w:t>
      </w:r>
      <w:r>
        <w:rPr>
          <w:rFonts w:hint="eastAsia" w:ascii="Garamond" w:hAnsi="Garamond"/>
          <w:color w:val="000000" w:themeColor="text1"/>
          <w:szCs w:val="21"/>
          <w:highlight w:val="none"/>
          <w:u w:val="single"/>
          <w14:textFill>
            <w14:solidFill>
              <w14:schemeClr w14:val="tx1"/>
            </w14:solidFill>
          </w14:textFill>
        </w:rPr>
        <w:t>或使用印章、签名章</w:t>
      </w:r>
      <w:r>
        <w:rPr>
          <w:rFonts w:ascii="Garamond" w:hAnsi="Garamond"/>
          <w:color w:val="000000" w:themeColor="text1"/>
          <w:szCs w:val="21"/>
          <w:highlight w:val="none"/>
          <w:u w:val="single"/>
          <w14:textFill>
            <w14:solidFill>
              <w14:schemeClr w14:val="tx1"/>
            </w14:solidFill>
          </w14:textFill>
        </w:rPr>
        <w:t xml:space="preserve">）     </w:t>
      </w:r>
      <w:r>
        <w:rPr>
          <w:rFonts w:ascii="Garamond" w:hAnsi="Garamond"/>
          <w:color w:val="000000" w:themeColor="text1"/>
          <w:szCs w:val="21"/>
          <w:highlight w:val="none"/>
          <w14:textFill>
            <w14:solidFill>
              <w14:schemeClr w14:val="tx1"/>
            </w14:solidFill>
          </w14:textFill>
        </w:rPr>
        <w:t>性别：____年龄：_____职务：_____系_________（投标人名称）的法定代表人。</w:t>
      </w:r>
    </w:p>
    <w:p w14:paraId="493FDFAC">
      <w:pPr>
        <w:topLinePunct/>
        <w:rPr>
          <w:rFonts w:ascii="Garamond" w:hAnsi="Garamond"/>
          <w:color w:val="000000" w:themeColor="text1"/>
          <w:highlight w:val="none"/>
          <w14:textFill>
            <w14:solidFill>
              <w14:schemeClr w14:val="tx1"/>
            </w14:solidFill>
          </w14:textFill>
        </w:rPr>
      </w:pPr>
      <w:r>
        <w:rPr>
          <w:rFonts w:ascii="Garamond" w:hAnsi="Garamond" w:cs="宋体"/>
          <w:color w:val="000000" w:themeColor="text1"/>
          <w:highlight w:val="none"/>
          <w14:textFill>
            <w14:solidFill>
              <w14:schemeClr w14:val="tx1"/>
            </w14:solidFill>
          </w14:textFill>
        </w:rPr>
        <w:t>附：</w:t>
      </w:r>
      <w:r>
        <w:rPr>
          <w:rFonts w:ascii="Garamond" w:hAnsi="Garamond"/>
          <w:b/>
          <w:bCs/>
          <w:color w:val="000000" w:themeColor="text1"/>
          <w:highlight w:val="none"/>
          <w14:textFill>
            <w14:solidFill>
              <w14:schemeClr w14:val="tx1"/>
            </w14:solidFill>
          </w14:textFill>
        </w:rPr>
        <w:t>法定代表人身份证</w:t>
      </w:r>
      <w:r>
        <w:rPr>
          <w:rFonts w:ascii="Garamond" w:hAnsi="Garamond"/>
          <w:b/>
          <w:color w:val="000000" w:themeColor="text1"/>
          <w:highlight w:val="none"/>
          <w14:textFill>
            <w14:solidFill>
              <w14:schemeClr w14:val="tx1"/>
            </w14:solidFill>
          </w14:textFill>
        </w:rPr>
        <w:t>复印件或扫描件</w:t>
      </w:r>
      <w:r>
        <w:rPr>
          <w:rFonts w:ascii="Garamond" w:hAnsi="Garamond"/>
          <w:b/>
          <w:bCs/>
          <w:color w:val="000000" w:themeColor="text1"/>
          <w:highlight w:val="none"/>
          <w14:textFill>
            <w14:solidFill>
              <w14:schemeClr w14:val="tx1"/>
            </w14:solidFill>
          </w14:textFill>
        </w:rPr>
        <w:t>。</w:t>
      </w:r>
    </w:p>
    <w:p w14:paraId="2651C757">
      <w:pPr>
        <w:topLinePunct/>
        <w:rPr>
          <w:rFonts w:ascii="Garamond" w:hAnsi="Garamond"/>
          <w:color w:val="000000" w:themeColor="text1"/>
          <w:highlight w:val="none"/>
          <w14:textFill>
            <w14:solidFill>
              <w14:schemeClr w14:val="tx1"/>
            </w14:solidFill>
          </w14:textFill>
        </w:rPr>
      </w:pPr>
    </w:p>
    <w:p w14:paraId="2EC7D3A3">
      <w:pPr>
        <w:spacing w:line="360" w:lineRule="auto"/>
        <w:rPr>
          <w:rFonts w:ascii="Garamond" w:hAnsi="Garamond"/>
          <w:color w:val="000000" w:themeColor="text1"/>
          <w:szCs w:val="21"/>
          <w:highlight w:val="none"/>
          <w14:textFill>
            <w14:solidFill>
              <w14:schemeClr w14:val="tx1"/>
            </w14:solidFill>
          </w14:textFill>
        </w:rPr>
      </w:pPr>
    </w:p>
    <w:p w14:paraId="1EECA8FD">
      <w:pPr>
        <w:spacing w:line="360" w:lineRule="auto"/>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特此证明。</w:t>
      </w:r>
    </w:p>
    <w:p w14:paraId="2B2FD5A0">
      <w:pPr>
        <w:spacing w:line="360" w:lineRule="auto"/>
        <w:rPr>
          <w:rFonts w:ascii="Garamond" w:hAnsi="Garamond"/>
          <w:color w:val="000000" w:themeColor="text1"/>
          <w:szCs w:val="21"/>
          <w:highlight w:val="none"/>
          <w14:textFill>
            <w14:solidFill>
              <w14:schemeClr w14:val="tx1"/>
            </w14:solidFill>
          </w14:textFill>
        </w:rPr>
      </w:pPr>
    </w:p>
    <w:p w14:paraId="66E1417E">
      <w:pPr>
        <w:spacing w:line="360" w:lineRule="auto"/>
        <w:rPr>
          <w:rFonts w:ascii="Garamond" w:hAnsi="Garamond"/>
          <w:color w:val="000000" w:themeColor="text1"/>
          <w:szCs w:val="21"/>
          <w:highlight w:val="none"/>
          <w14:textFill>
            <w14:solidFill>
              <w14:schemeClr w14:val="tx1"/>
            </w14:solidFill>
          </w14:textFill>
        </w:rPr>
      </w:pPr>
    </w:p>
    <w:p w14:paraId="1AF30E38">
      <w:pPr>
        <w:spacing w:line="360" w:lineRule="auto"/>
        <w:jc w:val="righ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投标人：___________________（盖单位章）</w:t>
      </w:r>
    </w:p>
    <w:p w14:paraId="2397D7CF">
      <w:pPr>
        <w:spacing w:line="360" w:lineRule="auto"/>
        <w:rPr>
          <w:rFonts w:ascii="Garamond" w:hAnsi="Garamond"/>
          <w:color w:val="000000" w:themeColor="text1"/>
          <w:szCs w:val="21"/>
          <w:highlight w:val="none"/>
          <w14:textFill>
            <w14:solidFill>
              <w14:schemeClr w14:val="tx1"/>
            </w14:solidFill>
          </w14:textFill>
        </w:rPr>
      </w:pPr>
    </w:p>
    <w:p w14:paraId="6D33BDA4">
      <w:pPr>
        <w:spacing w:line="360" w:lineRule="auto"/>
        <w:jc w:val="righ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______年_____月_______日</w:t>
      </w:r>
    </w:p>
    <w:p w14:paraId="37C17AA8">
      <w:pPr>
        <w:spacing w:line="360" w:lineRule="auto"/>
        <w:jc w:val="right"/>
        <w:rPr>
          <w:rFonts w:ascii="Garamond" w:hAnsi="Garamond"/>
          <w:color w:val="000000" w:themeColor="text1"/>
          <w:szCs w:val="21"/>
          <w:highlight w:val="none"/>
          <w14:textFill>
            <w14:solidFill>
              <w14:schemeClr w14:val="tx1"/>
            </w14:solidFill>
          </w14:textFill>
        </w:rPr>
      </w:pPr>
    </w:p>
    <w:p w14:paraId="639A1B4C">
      <w:pPr>
        <w:spacing w:line="360" w:lineRule="auto"/>
        <w:jc w:val="right"/>
        <w:rPr>
          <w:rFonts w:ascii="Garamond" w:hAnsi="Garamond"/>
          <w:color w:val="000000" w:themeColor="text1"/>
          <w:szCs w:val="21"/>
          <w:highlight w:val="none"/>
          <w14:textFill>
            <w14:solidFill>
              <w14:schemeClr w14:val="tx1"/>
            </w14:solidFill>
          </w14:textFill>
        </w:rPr>
      </w:pPr>
    </w:p>
    <w:p w14:paraId="0D656675">
      <w:pPr>
        <w:spacing w:line="360" w:lineRule="auto"/>
        <w:jc w:val="right"/>
        <w:rPr>
          <w:rFonts w:ascii="Garamond" w:hAnsi="Garamond"/>
          <w:color w:val="000000" w:themeColor="text1"/>
          <w:szCs w:val="21"/>
          <w:highlight w:val="none"/>
          <w14:textFill>
            <w14:solidFill>
              <w14:schemeClr w14:val="tx1"/>
            </w14:solidFill>
          </w14:textFill>
        </w:rPr>
      </w:pPr>
    </w:p>
    <w:p w14:paraId="217AAF66">
      <w:pPr>
        <w:spacing w:line="360" w:lineRule="auto"/>
        <w:jc w:val="right"/>
        <w:rPr>
          <w:rFonts w:ascii="Garamond" w:hAnsi="Garamond"/>
          <w:color w:val="000000" w:themeColor="text1"/>
          <w:szCs w:val="21"/>
          <w:highlight w:val="none"/>
          <w14:textFill>
            <w14:solidFill>
              <w14:schemeClr w14:val="tx1"/>
            </w14:solidFill>
          </w14:textFill>
        </w:rPr>
      </w:pPr>
    </w:p>
    <w:p w14:paraId="5A5953E8">
      <w:pPr>
        <w:spacing w:line="360" w:lineRule="auto"/>
        <w:jc w:val="right"/>
        <w:rPr>
          <w:rFonts w:ascii="Garamond" w:hAnsi="Garamond"/>
          <w:color w:val="000000" w:themeColor="text1"/>
          <w:szCs w:val="21"/>
          <w:highlight w:val="none"/>
          <w14:textFill>
            <w14:solidFill>
              <w14:schemeClr w14:val="tx1"/>
            </w14:solidFill>
          </w14:textFill>
        </w:rPr>
      </w:pPr>
    </w:p>
    <w:p w14:paraId="4CAA6DBF">
      <w:pPr>
        <w:spacing w:line="360" w:lineRule="auto"/>
        <w:jc w:val="right"/>
        <w:rPr>
          <w:rFonts w:ascii="Garamond" w:hAnsi="Garamond"/>
          <w:color w:val="000000" w:themeColor="text1"/>
          <w:szCs w:val="21"/>
          <w:highlight w:val="none"/>
          <w14:textFill>
            <w14:solidFill>
              <w14:schemeClr w14:val="tx1"/>
            </w14:solidFill>
          </w14:textFill>
        </w:rPr>
      </w:pPr>
    </w:p>
    <w:p w14:paraId="126A0E57">
      <w:pPr>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注：如果由投标人的法定代表人签署投标文件，需提交法定代表人身份证明。</w:t>
      </w:r>
    </w:p>
    <w:p w14:paraId="2699D7C3">
      <w:pPr>
        <w:spacing w:line="360" w:lineRule="auto"/>
        <w:jc w:val="center"/>
        <w:rPr>
          <w:rFonts w:ascii="Garamond" w:hAnsi="Garamond"/>
          <w:b/>
          <w:color w:val="000000" w:themeColor="text1"/>
          <w:sz w:val="24"/>
          <w:highlight w:val="none"/>
          <w14:textFill>
            <w14:solidFill>
              <w14:schemeClr w14:val="tx1"/>
            </w14:solidFill>
          </w14:textFill>
        </w:rPr>
      </w:pPr>
    </w:p>
    <w:p w14:paraId="7BBF3D46">
      <w:pPr>
        <w:spacing w:line="360" w:lineRule="auto"/>
        <w:jc w:val="center"/>
        <w:rPr>
          <w:rFonts w:ascii="Garamond" w:hAnsi="Garamond"/>
          <w:b/>
          <w:color w:val="000000" w:themeColor="text1"/>
          <w:sz w:val="24"/>
          <w:highlight w:val="none"/>
          <w14:textFill>
            <w14:solidFill>
              <w14:schemeClr w14:val="tx1"/>
            </w14:solidFill>
          </w14:textFill>
        </w:rPr>
      </w:pPr>
    </w:p>
    <w:p w14:paraId="41A56A05">
      <w:pPr>
        <w:spacing w:line="360" w:lineRule="auto"/>
        <w:jc w:val="center"/>
        <w:rPr>
          <w:rFonts w:ascii="Garamond" w:hAnsi="Garamond"/>
          <w:b/>
          <w:color w:val="000000" w:themeColor="text1"/>
          <w:sz w:val="24"/>
          <w:highlight w:val="none"/>
          <w14:textFill>
            <w14:solidFill>
              <w14:schemeClr w14:val="tx1"/>
            </w14:solidFill>
          </w14:textFill>
        </w:rPr>
      </w:pPr>
    </w:p>
    <w:p w14:paraId="20DE77E5">
      <w:pPr>
        <w:widowControl/>
        <w:jc w:val="left"/>
        <w:rPr>
          <w:rFonts w:ascii="Garamond" w:hAnsi="Garamond"/>
          <w:b/>
          <w:color w:val="000000" w:themeColor="text1"/>
          <w:sz w:val="24"/>
          <w:highlight w:val="none"/>
          <w14:textFill>
            <w14:solidFill>
              <w14:schemeClr w14:val="tx1"/>
            </w14:solidFill>
          </w14:textFill>
        </w:rPr>
      </w:pPr>
      <w:r>
        <w:rPr>
          <w:rFonts w:ascii="Garamond" w:hAnsi="Garamond"/>
          <w:b/>
          <w:color w:val="000000" w:themeColor="text1"/>
          <w:sz w:val="24"/>
          <w:highlight w:val="none"/>
          <w14:textFill>
            <w14:solidFill>
              <w14:schemeClr w14:val="tx1"/>
            </w14:solidFill>
          </w14:textFill>
        </w:rPr>
        <w:br w:type="page"/>
      </w:r>
    </w:p>
    <w:p w14:paraId="63686609">
      <w:pPr>
        <w:spacing w:line="360" w:lineRule="auto"/>
        <w:jc w:val="center"/>
        <w:rPr>
          <w:rFonts w:ascii="Garamond" w:hAnsi="Garamond"/>
          <w:b/>
          <w:color w:val="000000" w:themeColor="text1"/>
          <w:sz w:val="24"/>
          <w:highlight w:val="none"/>
          <w14:textFill>
            <w14:solidFill>
              <w14:schemeClr w14:val="tx1"/>
            </w14:solidFill>
          </w14:textFill>
        </w:rPr>
      </w:pPr>
      <w:r>
        <w:rPr>
          <w:rFonts w:ascii="Garamond" w:hAnsi="Garamond"/>
          <w:b/>
          <w:color w:val="000000" w:themeColor="text1"/>
          <w:sz w:val="24"/>
          <w:highlight w:val="none"/>
          <w14:textFill>
            <w14:solidFill>
              <w14:schemeClr w14:val="tx1"/>
            </w14:solidFill>
          </w14:textFill>
        </w:rPr>
        <w:t>（二）授权委托书</w:t>
      </w:r>
    </w:p>
    <w:p w14:paraId="1F216790">
      <w:pPr>
        <w:spacing w:line="340" w:lineRule="exact"/>
        <w:jc w:val="center"/>
        <w:rPr>
          <w:rFonts w:ascii="Garamond" w:hAnsi="Garamond"/>
          <w:b/>
          <w:color w:val="000000" w:themeColor="text1"/>
          <w:sz w:val="24"/>
          <w:highlight w:val="none"/>
          <w14:textFill>
            <w14:solidFill>
              <w14:schemeClr w14:val="tx1"/>
            </w14:solidFill>
          </w14:textFill>
        </w:rPr>
      </w:pPr>
    </w:p>
    <w:p w14:paraId="668DB738">
      <w:pPr>
        <w:spacing w:line="360" w:lineRule="auto"/>
        <w:ind w:firstLine="420" w:firstLineChars="200"/>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本人_____（姓名）系______（投标人名称）的法定代表人，现委托________（姓名）为我方代理人。代理人根据授权，以我方名义签署、澄清、说明、补正、递交、撤回、修改_______（项目名称）_________标段</w:t>
      </w:r>
      <w:r>
        <w:rPr>
          <w:rFonts w:hint="eastAsia" w:ascii="宋体" w:hAnsi="宋体" w:cs="宋体"/>
          <w:color w:val="000000" w:themeColor="text1"/>
          <w:szCs w:val="21"/>
          <w:highlight w:val="none"/>
          <w14:textFill>
            <w14:solidFill>
              <w14:schemeClr w14:val="tx1"/>
            </w14:solidFill>
          </w14:textFill>
        </w:rPr>
        <w:t>方案研究</w:t>
      </w:r>
      <w:r>
        <w:rPr>
          <w:rFonts w:ascii="Garamond" w:hAnsi="Garamond"/>
          <w:color w:val="000000" w:themeColor="text1"/>
          <w:szCs w:val="21"/>
          <w:highlight w:val="none"/>
          <w14:textFill>
            <w14:solidFill>
              <w14:schemeClr w14:val="tx1"/>
            </w14:solidFill>
          </w14:textFill>
        </w:rPr>
        <w:t>投标文件、签订合同和处理有关事宜，其法律后果由我方承担。</w:t>
      </w:r>
    </w:p>
    <w:p w14:paraId="0B6B355B">
      <w:pPr>
        <w:spacing w:line="360" w:lineRule="auto"/>
        <w:ind w:firstLine="525" w:firstLineChars="250"/>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委托期限：_____________</w:t>
      </w:r>
    </w:p>
    <w:p w14:paraId="7AC93607">
      <w:pPr>
        <w:spacing w:line="360" w:lineRule="auto"/>
        <w:ind w:firstLine="525" w:firstLineChars="250"/>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代理人无转委托权。</w:t>
      </w:r>
    </w:p>
    <w:p w14:paraId="31A51E6B">
      <w:pPr>
        <w:spacing w:line="360" w:lineRule="auto"/>
        <w:ind w:firstLine="527" w:firstLineChars="250"/>
        <w:rPr>
          <w:rFonts w:ascii="Garamond" w:hAnsi="Garamond"/>
          <w:b/>
          <w:color w:val="000000" w:themeColor="text1"/>
          <w:szCs w:val="21"/>
          <w:highlight w:val="none"/>
          <w14:textFill>
            <w14:solidFill>
              <w14:schemeClr w14:val="tx1"/>
            </w14:solidFill>
          </w14:textFill>
        </w:rPr>
      </w:pPr>
      <w:r>
        <w:rPr>
          <w:rFonts w:ascii="Garamond" w:hAnsi="Garamond"/>
          <w:b/>
          <w:color w:val="000000" w:themeColor="text1"/>
          <w:szCs w:val="21"/>
          <w:highlight w:val="none"/>
          <w14:textFill>
            <w14:solidFill>
              <w14:schemeClr w14:val="tx1"/>
            </w14:solidFill>
          </w14:textFill>
        </w:rPr>
        <w:t>附：法定代表人身份证明（包括</w:t>
      </w:r>
      <w:r>
        <w:rPr>
          <w:rFonts w:ascii="Garamond" w:hAnsi="Garamond"/>
          <w:b/>
          <w:color w:val="000000" w:themeColor="text1"/>
          <w:highlight w:val="none"/>
          <w14:textFill>
            <w14:solidFill>
              <w14:schemeClr w14:val="tx1"/>
            </w14:solidFill>
          </w14:textFill>
        </w:rPr>
        <w:t>法定代表人身份证复印件或扫描件）及委托代理人身份证复印件或扫描件。</w:t>
      </w:r>
    </w:p>
    <w:p w14:paraId="6E51DCB1">
      <w:pPr>
        <w:spacing w:line="360" w:lineRule="auto"/>
        <w:jc w:val="center"/>
        <w:rPr>
          <w:rFonts w:ascii="Garamond" w:hAnsi="Garamond"/>
          <w:color w:val="000000" w:themeColor="text1"/>
          <w:szCs w:val="21"/>
          <w:highlight w:val="none"/>
          <w14:textFill>
            <w14:solidFill>
              <w14:schemeClr w14:val="tx1"/>
            </w14:solidFill>
          </w14:textFill>
        </w:rPr>
      </w:pPr>
    </w:p>
    <w:p w14:paraId="68A4EA14">
      <w:pPr>
        <w:spacing w:line="360" w:lineRule="auto"/>
        <w:jc w:val="lef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投标人（盖单位章）：</w:t>
      </w:r>
    </w:p>
    <w:p w14:paraId="41546830">
      <w:pPr>
        <w:spacing w:line="360" w:lineRule="auto"/>
        <w:jc w:val="lef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法定代表人（签名或使用印章、签名章）：</w:t>
      </w:r>
    </w:p>
    <w:p w14:paraId="76A700EC">
      <w:pPr>
        <w:spacing w:line="360" w:lineRule="auto"/>
        <w:jc w:val="lef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身份证号码：</w:t>
      </w:r>
    </w:p>
    <w:p w14:paraId="015FC9FF">
      <w:pPr>
        <w:spacing w:line="360" w:lineRule="auto"/>
        <w:jc w:val="lef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委托代理人（签名或使用印章、签名章）：</w:t>
      </w:r>
    </w:p>
    <w:p w14:paraId="7F474D7D">
      <w:pPr>
        <w:spacing w:line="360" w:lineRule="auto"/>
        <w:jc w:val="lef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身份证号码：</w:t>
      </w:r>
    </w:p>
    <w:p w14:paraId="29D6ACA6">
      <w:pPr>
        <w:spacing w:line="360" w:lineRule="auto"/>
        <w:jc w:val="left"/>
        <w:rPr>
          <w:rFonts w:ascii="Garamond" w:hAnsi="Garamond"/>
          <w:color w:val="000000" w:themeColor="text1"/>
          <w:szCs w:val="21"/>
          <w:highlight w:val="none"/>
          <w14:textFill>
            <w14:solidFill>
              <w14:schemeClr w14:val="tx1"/>
            </w14:solidFill>
          </w14:textFill>
        </w:rPr>
      </w:pPr>
    </w:p>
    <w:p w14:paraId="7556CD9E">
      <w:pPr>
        <w:spacing w:line="360" w:lineRule="auto"/>
        <w:jc w:val="left"/>
        <w:rPr>
          <w:rFonts w:ascii="Garamond" w:hAnsi="Garamond"/>
          <w:color w:val="000000" w:themeColor="text1"/>
          <w:szCs w:val="21"/>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t>_______年__________月________日</w:t>
      </w:r>
    </w:p>
    <w:p w14:paraId="2906133B">
      <w:pPr>
        <w:spacing w:line="360" w:lineRule="auto"/>
        <w:jc w:val="center"/>
        <w:rPr>
          <w:rFonts w:ascii="Garamond" w:hAnsi="Garamond"/>
          <w:color w:val="000000" w:themeColor="text1"/>
          <w:szCs w:val="21"/>
          <w:highlight w:val="none"/>
          <w14:textFill>
            <w14:solidFill>
              <w14:schemeClr w14:val="tx1"/>
            </w14:solidFill>
          </w14:textFill>
        </w:rPr>
      </w:pPr>
    </w:p>
    <w:p w14:paraId="08F34441">
      <w:pPr>
        <w:spacing w:line="360" w:lineRule="auto"/>
        <w:jc w:val="center"/>
        <w:rPr>
          <w:rFonts w:ascii="Garamond" w:hAnsi="Garamond"/>
          <w:color w:val="000000" w:themeColor="text1"/>
          <w:szCs w:val="21"/>
          <w:highlight w:val="none"/>
          <w14:textFill>
            <w14:solidFill>
              <w14:schemeClr w14:val="tx1"/>
            </w14:solidFill>
          </w14:textFill>
        </w:rPr>
      </w:pPr>
    </w:p>
    <w:p w14:paraId="63509C18">
      <w:pPr>
        <w:spacing w:line="360" w:lineRule="auto"/>
        <w:jc w:val="center"/>
        <w:rPr>
          <w:rFonts w:ascii="Garamond" w:hAnsi="Garamond"/>
          <w:color w:val="000000" w:themeColor="text1"/>
          <w:szCs w:val="21"/>
          <w:highlight w:val="none"/>
          <w14:textFill>
            <w14:solidFill>
              <w14:schemeClr w14:val="tx1"/>
            </w14:solidFill>
          </w14:textFill>
        </w:rPr>
      </w:pPr>
    </w:p>
    <w:p w14:paraId="12C6976A">
      <w:pPr>
        <w:spacing w:line="360" w:lineRule="auto"/>
        <w:jc w:val="center"/>
        <w:rPr>
          <w:rFonts w:ascii="Garamond" w:hAnsi="Garamond"/>
          <w:color w:val="000000" w:themeColor="text1"/>
          <w:szCs w:val="21"/>
          <w:highlight w:val="none"/>
          <w14:textFill>
            <w14:solidFill>
              <w14:schemeClr w14:val="tx1"/>
            </w14:solidFill>
          </w14:textFill>
        </w:rPr>
      </w:pPr>
    </w:p>
    <w:p w14:paraId="02822BB6">
      <w:pPr>
        <w:spacing w:line="360" w:lineRule="auto"/>
        <w:jc w:val="center"/>
        <w:rPr>
          <w:rFonts w:ascii="Garamond" w:hAnsi="Garamond"/>
          <w:color w:val="000000" w:themeColor="text1"/>
          <w:szCs w:val="21"/>
          <w:highlight w:val="none"/>
          <w14:textFill>
            <w14:solidFill>
              <w14:schemeClr w14:val="tx1"/>
            </w14:solidFill>
          </w14:textFill>
        </w:rPr>
      </w:pPr>
    </w:p>
    <w:p w14:paraId="526C3EEF">
      <w:pPr>
        <w:spacing w:line="360" w:lineRule="auto"/>
        <w:rPr>
          <w:rFonts w:ascii="Garamond" w:hAnsi="Garamond"/>
          <w:color w:val="000000" w:themeColor="text1"/>
          <w:szCs w:val="21"/>
          <w:highlight w:val="none"/>
          <w14:textFill>
            <w14:solidFill>
              <w14:schemeClr w14:val="tx1"/>
            </w14:solidFill>
          </w14:textFill>
        </w:rPr>
      </w:pPr>
    </w:p>
    <w:p w14:paraId="22A78D65">
      <w:pPr>
        <w:spacing w:line="360" w:lineRule="auto"/>
        <w:jc w:val="center"/>
        <w:rPr>
          <w:rFonts w:ascii="Garamond" w:hAnsi="Garamond"/>
          <w:color w:val="000000" w:themeColor="text1"/>
          <w:szCs w:val="21"/>
          <w:highlight w:val="none"/>
          <w14:textFill>
            <w14:solidFill>
              <w14:schemeClr w14:val="tx1"/>
            </w14:solidFill>
          </w14:textFill>
        </w:rPr>
      </w:pPr>
    </w:p>
    <w:p w14:paraId="44AECBE3">
      <w:pPr>
        <w:spacing w:line="360" w:lineRule="auto"/>
        <w:jc w:val="center"/>
        <w:rPr>
          <w:rFonts w:ascii="Garamond" w:hAnsi="Garamond"/>
          <w:color w:val="000000" w:themeColor="text1"/>
          <w:szCs w:val="21"/>
          <w:highlight w:val="none"/>
          <w14:textFill>
            <w14:solidFill>
              <w14:schemeClr w14:val="tx1"/>
            </w14:solidFill>
          </w14:textFill>
        </w:rPr>
      </w:pPr>
    </w:p>
    <w:p w14:paraId="32BF758E">
      <w:pPr>
        <w:spacing w:line="360" w:lineRule="auto"/>
        <w:jc w:val="center"/>
        <w:rPr>
          <w:rFonts w:ascii="Garamond" w:hAnsi="Garamond"/>
          <w:color w:val="000000" w:themeColor="text1"/>
          <w:szCs w:val="21"/>
          <w:highlight w:val="none"/>
          <w14:textFill>
            <w14:solidFill>
              <w14:schemeClr w14:val="tx1"/>
            </w14:solidFill>
          </w14:textFill>
        </w:rPr>
      </w:pPr>
    </w:p>
    <w:p w14:paraId="0400ED31">
      <w:pPr>
        <w:spacing w:line="500" w:lineRule="exact"/>
        <w:ind w:firstLine="480"/>
        <w:rPr>
          <w:rFonts w:ascii="宋体" w:hAnsi="宋体" w:cs="宋体"/>
          <w:b/>
          <w:bCs/>
          <w:color w:val="000000" w:themeColor="text1"/>
          <w:highlight w:val="none"/>
          <w:u w:val="single"/>
          <w14:textFill>
            <w14:solidFill>
              <w14:schemeClr w14:val="tx1"/>
            </w14:solidFill>
          </w14:textFill>
        </w:rPr>
      </w:pPr>
      <w:r>
        <w:rPr>
          <w:rFonts w:hint="eastAsia" w:ascii="宋体" w:hAnsi="宋体" w:cs="宋体"/>
          <w:b/>
          <w:bCs/>
          <w:color w:val="000000" w:themeColor="text1"/>
          <w:highlight w:val="none"/>
          <w:u w:val="single"/>
          <w14:textFill>
            <w14:solidFill>
              <w14:schemeClr w14:val="tx1"/>
            </w14:solidFill>
          </w14:textFill>
        </w:rPr>
        <w:t>注：①如果由投标人法定代表人的委托代理人签署投标文件，需提交授权委托书。</w:t>
      </w:r>
    </w:p>
    <w:p w14:paraId="08B5967F">
      <w:pPr>
        <w:spacing w:line="500" w:lineRule="exact"/>
        <w:ind w:firstLine="480"/>
        <w:rPr>
          <w:rFonts w:ascii="宋体" w:hAnsi="宋体" w:cs="宋体"/>
          <w:b/>
          <w:bCs/>
          <w:color w:val="000000" w:themeColor="text1"/>
          <w:highlight w:val="none"/>
          <w:u w:val="single"/>
          <w14:textFill>
            <w14:solidFill>
              <w14:schemeClr w14:val="tx1"/>
            </w14:solidFill>
          </w14:textFill>
        </w:rPr>
      </w:pPr>
      <w:r>
        <w:rPr>
          <w:rFonts w:hint="eastAsia" w:ascii="宋体" w:hAnsi="宋体" w:cs="宋体"/>
          <w:b/>
          <w:bCs/>
          <w:color w:val="000000" w:themeColor="text1"/>
          <w:highlight w:val="none"/>
          <w:u w:val="single"/>
          <w14:textFill>
            <w14:solidFill>
              <w14:schemeClr w14:val="tx1"/>
            </w14:solidFill>
          </w14:textFill>
        </w:rPr>
        <w:t>②委托期限可写：自本委托书签署之日起至投标有效期满。</w:t>
      </w:r>
    </w:p>
    <w:p w14:paraId="68CC467F">
      <w:pPr>
        <w:rPr>
          <w:rFonts w:ascii="Garamond" w:hAnsi="Garamond"/>
          <w:color w:val="000000" w:themeColor="text1"/>
          <w:sz w:val="28"/>
          <w:szCs w:val="28"/>
          <w:highlight w:val="none"/>
          <w14:textFill>
            <w14:solidFill>
              <w14:schemeClr w14:val="tx1"/>
            </w14:solidFill>
          </w14:textFill>
        </w:rPr>
      </w:pPr>
      <w:r>
        <w:rPr>
          <w:rFonts w:ascii="Garamond" w:hAnsi="Garamond"/>
          <w:color w:val="000000" w:themeColor="text1"/>
          <w:sz w:val="28"/>
          <w:szCs w:val="28"/>
          <w:highlight w:val="none"/>
          <w14:textFill>
            <w14:solidFill>
              <w14:schemeClr w14:val="tx1"/>
            </w14:solidFill>
          </w14:textFill>
        </w:rPr>
        <w:br w:type="page"/>
      </w:r>
    </w:p>
    <w:p w14:paraId="52098E74">
      <w:pPr>
        <w:pStyle w:val="4"/>
        <w:spacing w:line="340" w:lineRule="exact"/>
        <w:jc w:val="center"/>
        <w:rPr>
          <w:rFonts w:ascii="Garamond" w:hAnsi="Garamond"/>
          <w:b w:val="0"/>
          <w:color w:val="000000" w:themeColor="text1"/>
          <w:highlight w:val="none"/>
          <w14:textFill>
            <w14:solidFill>
              <w14:schemeClr w14:val="tx1"/>
            </w14:solidFill>
          </w14:textFill>
        </w:rPr>
      </w:pPr>
      <w:r>
        <w:rPr>
          <w:rFonts w:ascii="Garamond" w:hAnsi="Garamond"/>
          <w:color w:val="000000" w:themeColor="text1"/>
          <w:sz w:val="28"/>
          <w:szCs w:val="28"/>
          <w:highlight w:val="none"/>
          <w14:textFill>
            <w14:solidFill>
              <w14:schemeClr w14:val="tx1"/>
            </w14:solidFill>
          </w14:textFill>
        </w:rPr>
        <w:t>三、投标保证金</w:t>
      </w:r>
    </w:p>
    <w:p w14:paraId="4F737EFF">
      <w:pPr>
        <w:widowControl/>
        <w:autoSpaceDE w:val="0"/>
        <w:autoSpaceDN w:val="0"/>
        <w:adjustRightInd w:val="0"/>
        <w:spacing w:line="360" w:lineRule="auto"/>
        <w:jc w:val="left"/>
        <w:rPr>
          <w:rFonts w:ascii="宋体" w:hAnsi="宋体" w:cs="宋体"/>
          <w:b/>
          <w:bCs/>
          <w:color w:val="000000"/>
          <w:sz w:val="24"/>
          <w:highlight w:val="none"/>
        </w:rPr>
      </w:pPr>
      <w:r>
        <w:rPr>
          <w:rFonts w:hint="eastAsia" w:ascii="宋体" w:hAnsi="宋体" w:cs="宋体"/>
          <w:b/>
          <w:bCs/>
          <w:color w:val="000000"/>
          <w:sz w:val="24"/>
          <w:highlight w:val="none"/>
        </w:rPr>
        <w:t>一、投标保证金的金额：</w:t>
      </w:r>
      <w:r>
        <w:rPr>
          <w:rFonts w:hint="eastAsia" w:ascii="宋体" w:hAnsi="宋体" w:cs="宋体"/>
          <w:b/>
          <w:bCs/>
          <w:color w:val="000000"/>
          <w:sz w:val="24"/>
          <w:highlight w:val="none"/>
          <w:lang w:val="en-US" w:eastAsia="zh-CN"/>
        </w:rPr>
        <w:t>伍</w:t>
      </w:r>
      <w:r>
        <w:rPr>
          <w:rFonts w:hint="eastAsia" w:ascii="宋体" w:hAnsi="宋体" w:cs="宋体"/>
          <w:b/>
          <w:bCs/>
          <w:color w:val="000000"/>
          <w:sz w:val="24"/>
          <w:highlight w:val="none"/>
        </w:rPr>
        <w:t>仟元。投标人在最近一次江苏省公路水路建设市场从业单位信用评定结果中的信用等级为AA级的投标保证金减少50％，被列入最近一次江苏省公路水运建设市场守信激励主体对象名单（红名单）的从业单位免缴投标保证金。</w:t>
      </w:r>
    </w:p>
    <w:p w14:paraId="7AE82BEB">
      <w:pPr>
        <w:widowControl/>
        <w:autoSpaceDE w:val="0"/>
        <w:autoSpaceDN w:val="0"/>
        <w:adjustRightInd w:val="0"/>
        <w:spacing w:line="360" w:lineRule="auto"/>
        <w:jc w:val="left"/>
        <w:rPr>
          <w:rFonts w:ascii="宋体" w:hAnsi="宋体" w:cs="宋体"/>
          <w:b/>
          <w:bCs/>
          <w:color w:val="000000"/>
          <w:sz w:val="24"/>
          <w:highlight w:val="none"/>
        </w:rPr>
      </w:pPr>
      <w:r>
        <w:rPr>
          <w:rFonts w:hint="eastAsia" w:ascii="宋体" w:hAnsi="宋体" w:cs="宋体"/>
          <w:b/>
          <w:bCs/>
          <w:color w:val="000000"/>
          <w:sz w:val="24"/>
          <w:highlight w:val="none"/>
        </w:rPr>
        <w:t>二、投标保证金递交形式：</w:t>
      </w:r>
    </w:p>
    <w:p w14:paraId="7D76F8B0">
      <w:pPr>
        <w:widowControl/>
        <w:autoSpaceDE w:val="0"/>
        <w:autoSpaceDN w:val="0"/>
        <w:adjustRightInd w:val="0"/>
        <w:spacing w:line="360" w:lineRule="auto"/>
        <w:jc w:val="left"/>
        <w:rPr>
          <w:rFonts w:ascii="宋体" w:hAnsi="宋体" w:cs="宋体"/>
          <w:b/>
          <w:bCs/>
          <w:color w:val="000000"/>
          <w:sz w:val="24"/>
          <w:highlight w:val="none"/>
        </w:rPr>
      </w:pPr>
      <w:r>
        <w:rPr>
          <w:rFonts w:hint="eastAsia" w:ascii="宋体" w:hAnsi="宋体" w:cs="宋体"/>
          <w:b/>
          <w:bCs/>
          <w:color w:val="000000"/>
          <w:sz w:val="24"/>
          <w:highlight w:val="none"/>
        </w:rPr>
        <w:t>1、红名单单位免缴投标保证金，提供列入红名单的公告截图即可。</w:t>
      </w:r>
    </w:p>
    <w:p w14:paraId="44F1B24A">
      <w:pPr>
        <w:widowControl/>
        <w:autoSpaceDE w:val="0"/>
        <w:autoSpaceDN w:val="0"/>
        <w:adjustRightInd w:val="0"/>
        <w:spacing w:line="360" w:lineRule="auto"/>
        <w:jc w:val="left"/>
        <w:rPr>
          <w:rFonts w:ascii="宋体" w:hAnsi="宋体" w:cs="宋体"/>
          <w:b/>
          <w:bCs/>
          <w:color w:val="000000"/>
          <w:sz w:val="24"/>
          <w:highlight w:val="none"/>
        </w:rPr>
      </w:pPr>
      <w:r>
        <w:rPr>
          <w:rFonts w:hint="eastAsia" w:ascii="宋体" w:hAnsi="宋体" w:cs="宋体"/>
          <w:b/>
          <w:bCs/>
          <w:color w:val="000000"/>
          <w:sz w:val="24"/>
          <w:highlight w:val="none"/>
          <w:lang w:val="en-US" w:eastAsia="zh-CN"/>
        </w:rPr>
        <w:t>2</w:t>
      </w:r>
      <w:r>
        <w:rPr>
          <w:rFonts w:hint="eastAsia" w:ascii="宋体" w:hAnsi="宋体" w:cs="宋体"/>
          <w:b/>
          <w:bCs/>
          <w:color w:val="000000"/>
          <w:sz w:val="24"/>
          <w:highlight w:val="none"/>
        </w:rPr>
        <w:t>、非红名单请在投标文件中提交《投标保证金信用承诺书》代替投标保证金缴纳，承诺书中保证金金额请根据投标人自身情况填报。</w:t>
      </w:r>
    </w:p>
    <w:p w14:paraId="3C38F93B">
      <w:pPr>
        <w:adjustRightInd w:val="0"/>
        <w:snapToGrid w:val="0"/>
        <w:spacing w:line="360" w:lineRule="auto"/>
        <w:ind w:firstLine="480" w:firstLineChars="200"/>
        <w:jc w:val="center"/>
        <w:rPr>
          <w:rFonts w:ascii="黑体" w:hAnsi="黑体" w:eastAsia="黑体" w:cs="黑体"/>
          <w:bCs/>
          <w:szCs w:val="21"/>
          <w:highlight w:val="none"/>
        </w:rPr>
      </w:pPr>
      <w:r>
        <w:rPr>
          <w:rFonts w:hint="eastAsia" w:ascii="宋体" w:hAnsi="宋体" w:cs="宋体"/>
          <w:color w:val="000000"/>
          <w:sz w:val="24"/>
          <w:highlight w:val="none"/>
        </w:rPr>
        <w:br w:type="page"/>
      </w:r>
      <w:r>
        <w:rPr>
          <w:rFonts w:hint="eastAsia" w:ascii="黑体" w:hAnsi="黑体" w:eastAsia="黑体" w:cs="黑体"/>
          <w:bCs/>
          <w:szCs w:val="21"/>
          <w:highlight w:val="none"/>
        </w:rPr>
        <w:t>非红名单单位递交《投标保证金信用承诺书》，格式如下：</w:t>
      </w:r>
    </w:p>
    <w:p w14:paraId="7F6CB8B8">
      <w:pPr>
        <w:autoSpaceDE w:val="0"/>
        <w:autoSpaceDN w:val="0"/>
        <w:snapToGrid w:val="0"/>
        <w:spacing w:line="360" w:lineRule="auto"/>
        <w:ind w:left="108" w:right="522" w:firstLine="420"/>
        <w:jc w:val="center"/>
        <w:rPr>
          <w:rFonts w:ascii="黑体" w:hAnsi="黑体" w:eastAsia="黑体" w:cs="黑体"/>
          <w:bCs/>
          <w:szCs w:val="21"/>
          <w:highlight w:val="none"/>
        </w:rPr>
      </w:pPr>
      <w:r>
        <w:rPr>
          <w:rFonts w:hint="eastAsia" w:ascii="黑体" w:hAnsi="黑体" w:eastAsia="黑体" w:cs="黑体"/>
          <w:bCs/>
          <w:szCs w:val="21"/>
          <w:highlight w:val="none"/>
        </w:rPr>
        <w:t>投标保证金信用承诺书</w:t>
      </w:r>
    </w:p>
    <w:p w14:paraId="11E828A9">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 xml:space="preserve">致：（招标人名称）         </w:t>
      </w:r>
    </w:p>
    <w:p w14:paraId="700E1B5F">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本公司(单位)拟参加</w:t>
      </w:r>
      <w:r>
        <w:rPr>
          <w:rFonts w:hint="eastAsia" w:ascii="黑体" w:hAnsi="黑体" w:eastAsia="黑体" w:cs="黑体"/>
          <w:bCs/>
          <w:szCs w:val="21"/>
          <w:highlight w:val="none"/>
          <w:u w:val="single"/>
        </w:rPr>
        <w:t xml:space="preserve">                  </w:t>
      </w:r>
      <w:r>
        <w:rPr>
          <w:rFonts w:hint="eastAsia" w:ascii="黑体" w:hAnsi="黑体" w:eastAsia="黑体" w:cs="黑体"/>
          <w:bCs/>
          <w:szCs w:val="21"/>
          <w:highlight w:val="none"/>
        </w:rPr>
        <w:t>项目的投标，自愿以书面承诺形式替代投标保证金并愿意承担不实承诺的法律责任。</w:t>
      </w:r>
    </w:p>
    <w:p w14:paraId="3D06F275">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一、项目基本情况</w:t>
      </w:r>
    </w:p>
    <w:p w14:paraId="7E7C1D41">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项目名称：</w:t>
      </w:r>
    </w:p>
    <w:p w14:paraId="59B22A9A">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标段名称：</w:t>
      </w:r>
    </w:p>
    <w:p w14:paraId="301559E2">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保证金金额：</w:t>
      </w:r>
      <w:r>
        <w:rPr>
          <w:rFonts w:hint="eastAsia" w:ascii="黑体" w:hAnsi="黑体" w:eastAsia="黑体" w:cs="黑体"/>
          <w:bCs/>
          <w:szCs w:val="21"/>
          <w:highlight w:val="none"/>
          <w:u w:val="single"/>
        </w:rPr>
        <w:t xml:space="preserve">           </w:t>
      </w:r>
      <w:r>
        <w:rPr>
          <w:rFonts w:hint="eastAsia" w:ascii="黑体" w:hAnsi="黑体" w:eastAsia="黑体" w:cs="黑体"/>
          <w:bCs/>
          <w:szCs w:val="21"/>
          <w:highlight w:val="none"/>
        </w:rPr>
        <w:t>，投标有效期：</w:t>
      </w:r>
      <w:r>
        <w:rPr>
          <w:rFonts w:hint="eastAsia" w:ascii="黑体" w:hAnsi="黑体" w:eastAsia="黑体" w:cs="黑体"/>
          <w:bCs/>
          <w:szCs w:val="21"/>
          <w:highlight w:val="none"/>
          <w:u w:val="single"/>
        </w:rPr>
        <w:t xml:space="preserve">   </w:t>
      </w:r>
      <w:r>
        <w:rPr>
          <w:rFonts w:hint="eastAsia" w:ascii="黑体" w:hAnsi="黑体" w:eastAsia="黑体" w:cs="黑体"/>
          <w:bCs/>
          <w:szCs w:val="21"/>
          <w:highlight w:val="none"/>
        </w:rPr>
        <w:t>天，投标有效期延长的，本承诺书有效期相应顺延。</w:t>
      </w:r>
    </w:p>
    <w:p w14:paraId="276E8A49">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本公司（单位）承诺</w:t>
      </w:r>
    </w:p>
    <w:p w14:paraId="2598FF1D">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（一）符合信用承诺制的办理条件，无不良信用记录或虚假承诺等情形。</w:t>
      </w:r>
    </w:p>
    <w:p w14:paraId="6FA26E26">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（二）在此次招标活动中不发生以下情形:</w:t>
      </w:r>
    </w:p>
    <w:p w14:paraId="5DD2DDD3">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1.在开标后和投标有效期满之前撤销投标文件；</w:t>
      </w:r>
    </w:p>
    <w:p w14:paraId="3C0C6A3E">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2.在收到中标通知后，不能或拒绝在中标通知书规定的时间内与招标人签订合同；</w:t>
      </w:r>
    </w:p>
    <w:p w14:paraId="199BBD3E">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3.与招标人签订合同后，未在规定的时间内提交符合招标文件要求的履约担保；</w:t>
      </w:r>
    </w:p>
    <w:p w14:paraId="6A4AE8B5">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4.法律、法规或部门规章、招标文件等规定的关于不予退还投标保证金的其他要求。</w:t>
      </w:r>
    </w:p>
    <w:p w14:paraId="2FE76957">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（三）自愿承担不实承诺的法律后果：</w:t>
      </w:r>
    </w:p>
    <w:p w14:paraId="4131EA5D">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1.投标资格无效；</w:t>
      </w:r>
    </w:p>
    <w:p w14:paraId="39C7891D">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2.将失信行为记录到招标投标信用信息共享平台或公共资源交易服务平台予以公示，在公示期间内不参与南通市内项目的投标；给他人造成损失的，依法承担赔偿责任；违反相关法律法规的，交由相关行政监管部门处理；涉嫌犯罪的，依法移送司法机关。</w:t>
      </w:r>
    </w:p>
    <w:p w14:paraId="6650D071">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3.自发现承诺内容失信行为之日起5个工作日内向招标人补缴投标保证金，逾期补缴的的视为失信行为记入信用记录；给他人造成损失的，依法承担赔偿责任。</w:t>
      </w:r>
    </w:p>
    <w:p w14:paraId="63095B1E">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4.</w:t>
      </w:r>
      <w:r>
        <w:rPr>
          <w:rFonts w:hint="eastAsia" w:ascii="黑体" w:hAnsi="黑体" w:eastAsia="黑体" w:cs="黑体"/>
          <w:bCs/>
          <w:szCs w:val="21"/>
          <w:highlight w:val="none"/>
          <w:lang w:val="zh-CN"/>
        </w:rPr>
        <w:t>招标人依法提起诉讼的，相关诉讼费用（包括</w:t>
      </w:r>
      <w:r>
        <w:rPr>
          <w:rFonts w:hint="eastAsia" w:ascii="黑体" w:hAnsi="黑体" w:eastAsia="黑体" w:cs="黑体"/>
          <w:bCs/>
          <w:szCs w:val="21"/>
          <w:highlight w:val="none"/>
        </w:rPr>
        <w:t>但不</w:t>
      </w:r>
      <w:r>
        <w:rPr>
          <w:rFonts w:hint="eastAsia" w:ascii="黑体" w:hAnsi="黑体" w:eastAsia="黑体" w:cs="黑体"/>
          <w:bCs/>
          <w:szCs w:val="21"/>
          <w:highlight w:val="none"/>
          <w:lang w:val="zh-CN"/>
        </w:rPr>
        <w:t>限于案件受理费、律师费、申请费、差旅费等）由我公司承担，</w:t>
      </w:r>
      <w:r>
        <w:rPr>
          <w:rFonts w:hint="eastAsia" w:ascii="黑体" w:hAnsi="黑体" w:eastAsia="黑体" w:cs="黑体"/>
          <w:bCs/>
          <w:szCs w:val="21"/>
          <w:highlight w:val="none"/>
        </w:rPr>
        <w:t>南通市内</w:t>
      </w:r>
      <w:r>
        <w:rPr>
          <w:rFonts w:hint="eastAsia" w:ascii="黑体" w:hAnsi="黑体" w:eastAsia="黑体" w:cs="黑体"/>
          <w:bCs/>
          <w:szCs w:val="21"/>
          <w:highlight w:val="none"/>
          <w:lang w:val="zh-CN"/>
        </w:rPr>
        <w:t>各级公共资源交易中心、招标人有权暂缓退付我公司以现金方式缴纳的其他项目保证金，并</w:t>
      </w:r>
      <w:r>
        <w:rPr>
          <w:rFonts w:hint="eastAsia" w:ascii="黑体" w:hAnsi="黑体" w:eastAsia="黑体" w:cs="黑体"/>
          <w:bCs/>
          <w:szCs w:val="21"/>
          <w:highlight w:val="none"/>
        </w:rPr>
        <w:t>配合</w:t>
      </w:r>
      <w:r>
        <w:rPr>
          <w:rFonts w:hint="eastAsia" w:ascii="黑体" w:hAnsi="黑体" w:eastAsia="黑体" w:cs="黑体"/>
          <w:bCs/>
          <w:szCs w:val="21"/>
          <w:highlight w:val="none"/>
          <w:lang w:val="zh-CN"/>
        </w:rPr>
        <w:t>法院执行。</w:t>
      </w:r>
    </w:p>
    <w:p w14:paraId="59B5E68D">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（四）上述承诺是自身真实的意思表示。</w:t>
      </w:r>
    </w:p>
    <w:p w14:paraId="21452F56">
      <w:pPr>
        <w:widowControl/>
        <w:autoSpaceDE w:val="0"/>
        <w:autoSpaceDN w:val="0"/>
        <w:snapToGrid w:val="0"/>
        <w:spacing w:line="360" w:lineRule="auto"/>
        <w:ind w:right="522"/>
        <w:jc w:val="left"/>
        <w:rPr>
          <w:rFonts w:ascii="黑体" w:hAnsi="黑体" w:eastAsia="黑体" w:cs="黑体"/>
          <w:bCs/>
          <w:szCs w:val="21"/>
          <w:highlight w:val="none"/>
        </w:rPr>
      </w:pPr>
      <w:r>
        <w:rPr>
          <w:rFonts w:hint="eastAsia" w:ascii="黑体" w:hAnsi="黑体" w:eastAsia="黑体" w:cs="黑体"/>
          <w:bCs/>
          <w:szCs w:val="21"/>
          <w:highlight w:val="none"/>
        </w:rPr>
        <w:t xml:space="preserve">投 标 人(盖单位公章)：                         </w:t>
      </w:r>
    </w:p>
    <w:p w14:paraId="751BE0D7">
      <w:pPr>
        <w:widowControl/>
        <w:autoSpaceDE w:val="0"/>
        <w:autoSpaceDN w:val="0"/>
        <w:snapToGrid w:val="0"/>
        <w:spacing w:line="360" w:lineRule="auto"/>
        <w:ind w:right="522"/>
        <w:jc w:val="left"/>
        <w:rPr>
          <w:rFonts w:ascii="黑体" w:hAnsi="黑体" w:eastAsia="黑体" w:cs="黑体"/>
          <w:bCs/>
          <w:szCs w:val="21"/>
          <w:highlight w:val="none"/>
        </w:rPr>
      </w:pPr>
      <w:r>
        <w:rPr>
          <w:rFonts w:hint="eastAsia" w:ascii="黑体" w:hAnsi="黑体" w:eastAsia="黑体" w:cs="黑体"/>
          <w:bCs/>
          <w:szCs w:val="21"/>
          <w:highlight w:val="none"/>
        </w:rPr>
        <w:t xml:space="preserve">法定代表人或其委托代理人（亲笔签名或使用印章、签名章）：          </w:t>
      </w:r>
    </w:p>
    <w:p w14:paraId="65E42EAF">
      <w:pPr>
        <w:widowControl/>
        <w:autoSpaceDE w:val="0"/>
        <w:autoSpaceDN w:val="0"/>
        <w:snapToGrid w:val="0"/>
        <w:spacing w:line="360" w:lineRule="auto"/>
        <w:ind w:left="108" w:right="522" w:firstLine="420"/>
        <w:jc w:val="left"/>
        <w:rPr>
          <w:rFonts w:ascii="黑体" w:hAnsi="黑体" w:eastAsia="黑体" w:cs="黑体"/>
          <w:bCs/>
          <w:szCs w:val="21"/>
          <w:highlight w:val="none"/>
        </w:rPr>
      </w:pPr>
      <w:r>
        <w:rPr>
          <w:rFonts w:hint="eastAsia" w:ascii="黑体" w:hAnsi="黑体" w:eastAsia="黑体" w:cs="黑体"/>
          <w:bCs/>
          <w:szCs w:val="21"/>
          <w:highlight w:val="none"/>
        </w:rPr>
        <w:t xml:space="preserve">                         年        月        日</w:t>
      </w:r>
    </w:p>
    <w:p w14:paraId="66B8A3B5">
      <w:pPr>
        <w:spacing w:line="340" w:lineRule="exact"/>
        <w:ind w:right="240" w:firstLine="480"/>
        <w:jc w:val="center"/>
        <w:rPr>
          <w:rFonts w:ascii="Garamond" w:hAnsi="Garamond"/>
          <w:color w:val="000000" w:themeColor="text1"/>
          <w:szCs w:val="21"/>
          <w:highlight w:val="none"/>
          <w14:textFill>
            <w14:solidFill>
              <w14:schemeClr w14:val="tx1"/>
            </w14:solidFill>
          </w14:textFill>
        </w:rPr>
      </w:pPr>
    </w:p>
    <w:p w14:paraId="77E5EA2F">
      <w:pPr>
        <w:pStyle w:val="4"/>
        <w:jc w:val="center"/>
        <w:rPr>
          <w:rFonts w:ascii="Garamond" w:hAnsi="Garamond"/>
          <w:color w:val="000000" w:themeColor="text1"/>
          <w:sz w:val="28"/>
          <w:szCs w:val="28"/>
          <w:highlight w:val="none"/>
          <w14:textFill>
            <w14:solidFill>
              <w14:schemeClr w14:val="tx1"/>
            </w14:solidFill>
          </w14:textFill>
        </w:rPr>
      </w:pPr>
      <w:r>
        <w:rPr>
          <w:rFonts w:ascii="Garamond" w:hAnsi="Garamond"/>
          <w:color w:val="000000" w:themeColor="text1"/>
          <w:szCs w:val="21"/>
          <w:highlight w:val="none"/>
          <w14:textFill>
            <w14:solidFill>
              <w14:schemeClr w14:val="tx1"/>
            </w14:solidFill>
          </w14:textFill>
        </w:rPr>
        <w:br w:type="page"/>
      </w:r>
      <w:r>
        <w:rPr>
          <w:rFonts w:hint="eastAsia" w:ascii="Garamond" w:hAnsi="Garamond"/>
          <w:color w:val="000000" w:themeColor="text1"/>
          <w:sz w:val="28"/>
          <w:szCs w:val="28"/>
          <w:highlight w:val="none"/>
          <w14:textFill>
            <w14:solidFill>
              <w14:schemeClr w14:val="tx1"/>
            </w14:solidFill>
          </w14:textFill>
        </w:rPr>
        <w:t>四、技术建议书</w:t>
      </w:r>
    </w:p>
    <w:p w14:paraId="258F6262">
      <w:pPr>
        <w:keepNext w:val="0"/>
        <w:keepLines w:val="0"/>
        <w:pageBreakBefore w:val="0"/>
        <w:widowControl w:val="0"/>
        <w:kinsoku/>
        <w:wordWrap/>
        <w:overflowPunct/>
        <w:topLinePunct w:val="0"/>
        <w:autoSpaceDE/>
        <w:autoSpaceDN/>
        <w:bidi w:val="0"/>
        <w:adjustRightInd w:val="0"/>
        <w:snapToGrid w:val="0"/>
        <w:spacing w:line="360" w:lineRule="auto"/>
        <w:ind w:right="0" w:firstLine="420" w:firstLineChars="200"/>
        <w:textAlignment w:val="auto"/>
        <w:rPr>
          <w:rFonts w:ascii="Garamond" w:hAnsi="Garamond"/>
          <w:snapToGrid w:val="0"/>
          <w:color w:val="000000" w:themeColor="text1"/>
          <w:kern w:val="0"/>
          <w:szCs w:val="21"/>
          <w:highlight w:val="none"/>
          <w14:textFill>
            <w14:solidFill>
              <w14:schemeClr w14:val="tx1"/>
            </w14:solidFill>
          </w14:textFill>
        </w:rPr>
      </w:pPr>
      <w:r>
        <w:rPr>
          <w:rFonts w:ascii="Garamond" w:hAnsi="Garamond"/>
          <w:snapToGrid w:val="0"/>
          <w:color w:val="000000" w:themeColor="text1"/>
          <w:kern w:val="0"/>
          <w:szCs w:val="21"/>
          <w:highlight w:val="none"/>
          <w14:textFill>
            <w14:solidFill>
              <w14:schemeClr w14:val="tx1"/>
            </w14:solidFill>
          </w14:textFill>
        </w:rPr>
        <w:t>具体但不限于以下内容：</w:t>
      </w:r>
    </w:p>
    <w:p w14:paraId="077E8D98">
      <w:pPr>
        <w:keepNext w:val="0"/>
        <w:keepLines w:val="0"/>
        <w:pageBreakBefore w:val="0"/>
        <w:widowControl w:val="0"/>
        <w:kinsoku/>
        <w:wordWrap/>
        <w:overflowPunct/>
        <w:topLinePunct w:val="0"/>
        <w:autoSpaceDE/>
        <w:autoSpaceDN/>
        <w:bidi w:val="0"/>
        <w:adjustRightInd w:val="0"/>
        <w:snapToGrid w:val="0"/>
        <w:spacing w:line="360" w:lineRule="auto"/>
        <w:ind w:right="0" w:firstLine="420" w:firstLineChars="20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w:t>
      </w:r>
      <w:r>
        <w:rPr>
          <w:rFonts w:hint="eastAsia" w:ascii="宋体" w:hAnsi="宋体" w:eastAsia="宋体" w:cs="宋体"/>
          <w:color w:val="000000" w:themeColor="text1"/>
          <w:szCs w:val="21"/>
          <w:highlight w:val="none"/>
          <w14:textFill>
            <w14:solidFill>
              <w14:schemeClr w14:val="tx1"/>
            </w14:solidFill>
          </w14:textFill>
        </w:rPr>
        <w:t>对项目的理解和总体思路</w:t>
      </w:r>
    </w:p>
    <w:p w14:paraId="05C873F6">
      <w:pPr>
        <w:keepNext w:val="0"/>
        <w:keepLines w:val="0"/>
        <w:pageBreakBefore w:val="0"/>
        <w:widowControl w:val="0"/>
        <w:kinsoku/>
        <w:wordWrap/>
        <w:overflowPunct/>
        <w:topLinePunct w:val="0"/>
        <w:autoSpaceDE/>
        <w:autoSpaceDN/>
        <w:bidi w:val="0"/>
        <w:adjustRightInd w:val="0"/>
        <w:snapToGrid w:val="0"/>
        <w:spacing w:line="360" w:lineRule="auto"/>
        <w:ind w:right="0" w:firstLine="420" w:firstLineChars="20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2、</w:t>
      </w:r>
      <w:r>
        <w:rPr>
          <w:rFonts w:hint="eastAsia" w:ascii="宋体" w:hAnsi="宋体" w:eastAsia="宋体" w:cs="宋体"/>
          <w:color w:val="000000" w:themeColor="text1"/>
          <w:szCs w:val="21"/>
          <w:highlight w:val="none"/>
          <w14:textFill>
            <w14:solidFill>
              <w14:schemeClr w14:val="tx1"/>
            </w14:solidFill>
          </w14:textFill>
        </w:rPr>
        <w:t>招标项目的特点、关键技术问题的认识及其对策措施</w:t>
      </w:r>
    </w:p>
    <w:p w14:paraId="58CC84F1">
      <w:pPr>
        <w:keepNext w:val="0"/>
        <w:keepLines w:val="0"/>
        <w:pageBreakBefore w:val="0"/>
        <w:widowControl w:val="0"/>
        <w:kinsoku/>
        <w:wordWrap/>
        <w:overflowPunct/>
        <w:topLinePunct w:val="0"/>
        <w:autoSpaceDE/>
        <w:autoSpaceDN/>
        <w:bidi w:val="0"/>
        <w:adjustRightInd w:val="0"/>
        <w:snapToGrid w:val="0"/>
        <w:spacing w:line="360" w:lineRule="auto"/>
        <w:ind w:right="0" w:firstLine="420" w:firstLineChars="20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3、</w:t>
      </w:r>
      <w:r>
        <w:rPr>
          <w:rFonts w:hint="eastAsia" w:ascii="宋体" w:hAnsi="宋体" w:eastAsia="宋体" w:cs="宋体"/>
          <w:color w:val="000000" w:themeColor="text1"/>
          <w:szCs w:val="21"/>
          <w:highlight w:val="none"/>
          <w14:textFill>
            <w14:solidFill>
              <w14:schemeClr w14:val="tx1"/>
            </w14:solidFill>
          </w14:textFill>
        </w:rPr>
        <w:t>工作量及计划安排</w:t>
      </w:r>
    </w:p>
    <w:p w14:paraId="2E991847">
      <w:pPr>
        <w:keepNext w:val="0"/>
        <w:keepLines w:val="0"/>
        <w:pageBreakBefore w:val="0"/>
        <w:widowControl w:val="0"/>
        <w:kinsoku/>
        <w:wordWrap/>
        <w:overflowPunct/>
        <w:topLinePunct w:val="0"/>
        <w:autoSpaceDE/>
        <w:autoSpaceDN/>
        <w:bidi w:val="0"/>
        <w:adjustRightInd w:val="0"/>
        <w:snapToGrid w:val="0"/>
        <w:spacing w:line="360" w:lineRule="auto"/>
        <w:ind w:right="0" w:firstLine="420" w:firstLineChars="20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4、</w:t>
      </w:r>
      <w:r>
        <w:rPr>
          <w:rFonts w:hint="eastAsia" w:ascii="宋体" w:hAnsi="宋体" w:eastAsia="宋体" w:cs="宋体"/>
          <w:color w:val="000000" w:themeColor="text1"/>
          <w:szCs w:val="21"/>
          <w:highlight w:val="none"/>
          <w14:textFill>
            <w14:solidFill>
              <w14:schemeClr w14:val="tx1"/>
            </w14:solidFill>
          </w14:textFill>
        </w:rPr>
        <w:t>质量保证措施、进度保证措施</w:t>
      </w:r>
    </w:p>
    <w:p w14:paraId="3093C134">
      <w:pPr>
        <w:keepNext w:val="0"/>
        <w:keepLines w:val="0"/>
        <w:pageBreakBefore w:val="0"/>
        <w:widowControl w:val="0"/>
        <w:kinsoku/>
        <w:wordWrap/>
        <w:overflowPunct/>
        <w:topLinePunct w:val="0"/>
        <w:autoSpaceDE/>
        <w:autoSpaceDN/>
        <w:bidi w:val="0"/>
        <w:adjustRightInd w:val="0"/>
        <w:snapToGrid w:val="0"/>
        <w:spacing w:line="360" w:lineRule="auto"/>
        <w:ind w:right="0" w:firstLine="420" w:firstLineChars="20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5、</w:t>
      </w:r>
      <w:r>
        <w:rPr>
          <w:rFonts w:hint="eastAsia" w:ascii="宋体" w:hAnsi="宋体" w:eastAsia="宋体" w:cs="宋体"/>
          <w:color w:val="000000" w:themeColor="text1"/>
          <w:szCs w:val="21"/>
          <w:highlight w:val="none"/>
          <w14:textFill>
            <w14:solidFill>
              <w14:schemeClr w14:val="tx1"/>
            </w14:solidFill>
          </w14:textFill>
        </w:rPr>
        <w:t>后续服务的安排及保证措施</w:t>
      </w:r>
    </w:p>
    <w:p w14:paraId="341BF981">
      <w:pPr>
        <w:spacing w:line="360" w:lineRule="auto"/>
        <w:ind w:right="240" w:firstLine="480"/>
        <w:rPr>
          <w:rFonts w:ascii="Garamond" w:hAnsi="Garamond"/>
          <w:color w:val="000000" w:themeColor="text1"/>
          <w:szCs w:val="21"/>
          <w:highlight w:val="none"/>
          <w14:textFill>
            <w14:solidFill>
              <w14:schemeClr w14:val="tx1"/>
            </w14:solidFill>
          </w14:textFill>
        </w:rPr>
      </w:pPr>
    </w:p>
    <w:p w14:paraId="4F892D22">
      <w:pPr>
        <w:spacing w:line="360" w:lineRule="auto"/>
        <w:ind w:right="240" w:firstLine="480"/>
        <w:rPr>
          <w:rFonts w:ascii="Garamond" w:hAnsi="Garamond"/>
          <w:color w:val="000000" w:themeColor="text1"/>
          <w:szCs w:val="21"/>
          <w:highlight w:val="none"/>
          <w14:textFill>
            <w14:solidFill>
              <w14:schemeClr w14:val="tx1"/>
            </w14:solidFill>
          </w14:textFill>
        </w:rPr>
      </w:pPr>
    </w:p>
    <w:p w14:paraId="67648B59">
      <w:pPr>
        <w:spacing w:line="360" w:lineRule="auto"/>
        <w:ind w:right="240" w:firstLine="480"/>
        <w:rPr>
          <w:rFonts w:ascii="Garamond" w:hAnsi="Garamond"/>
          <w:color w:val="000000" w:themeColor="text1"/>
          <w:szCs w:val="21"/>
          <w:highlight w:val="none"/>
          <w14:textFill>
            <w14:solidFill>
              <w14:schemeClr w14:val="tx1"/>
            </w14:solidFill>
          </w14:textFill>
        </w:rPr>
      </w:pPr>
    </w:p>
    <w:p w14:paraId="10B20D12">
      <w:pPr>
        <w:spacing w:line="360" w:lineRule="auto"/>
        <w:ind w:right="240" w:firstLine="480"/>
        <w:rPr>
          <w:rFonts w:ascii="Garamond" w:hAnsi="Garamond"/>
          <w:color w:val="000000" w:themeColor="text1"/>
          <w:szCs w:val="21"/>
          <w:highlight w:val="none"/>
          <w14:textFill>
            <w14:solidFill>
              <w14:schemeClr w14:val="tx1"/>
            </w14:solidFill>
          </w14:textFill>
        </w:rPr>
      </w:pPr>
    </w:p>
    <w:p w14:paraId="5B8AD585">
      <w:pPr>
        <w:spacing w:line="360" w:lineRule="auto"/>
        <w:ind w:right="240" w:firstLine="480"/>
        <w:rPr>
          <w:rFonts w:ascii="Garamond" w:hAnsi="Garamond"/>
          <w:color w:val="000000" w:themeColor="text1"/>
          <w:szCs w:val="21"/>
          <w:highlight w:val="none"/>
          <w14:textFill>
            <w14:solidFill>
              <w14:schemeClr w14:val="tx1"/>
            </w14:solidFill>
          </w14:textFill>
        </w:rPr>
      </w:pPr>
    </w:p>
    <w:p w14:paraId="14D13368">
      <w:pPr>
        <w:spacing w:line="360" w:lineRule="auto"/>
        <w:ind w:right="240" w:firstLine="480"/>
        <w:rPr>
          <w:rFonts w:ascii="Garamond" w:hAnsi="Garamond"/>
          <w:color w:val="000000" w:themeColor="text1"/>
          <w:szCs w:val="21"/>
          <w:highlight w:val="none"/>
          <w14:textFill>
            <w14:solidFill>
              <w14:schemeClr w14:val="tx1"/>
            </w14:solidFill>
          </w14:textFill>
        </w:rPr>
      </w:pPr>
    </w:p>
    <w:p w14:paraId="5A1D7036">
      <w:pPr>
        <w:spacing w:line="360" w:lineRule="auto"/>
        <w:ind w:right="240" w:firstLine="480"/>
        <w:rPr>
          <w:rFonts w:ascii="Garamond" w:hAnsi="Garamond"/>
          <w:color w:val="000000" w:themeColor="text1"/>
          <w:szCs w:val="21"/>
          <w:highlight w:val="none"/>
          <w14:textFill>
            <w14:solidFill>
              <w14:schemeClr w14:val="tx1"/>
            </w14:solidFill>
          </w14:textFill>
        </w:rPr>
      </w:pPr>
    </w:p>
    <w:p w14:paraId="4600281F">
      <w:pPr>
        <w:spacing w:line="360" w:lineRule="auto"/>
        <w:ind w:right="240" w:firstLine="480"/>
        <w:rPr>
          <w:rFonts w:ascii="Garamond" w:hAnsi="Garamond"/>
          <w:color w:val="000000" w:themeColor="text1"/>
          <w:szCs w:val="21"/>
          <w:highlight w:val="none"/>
          <w14:textFill>
            <w14:solidFill>
              <w14:schemeClr w14:val="tx1"/>
            </w14:solidFill>
          </w14:textFill>
        </w:rPr>
      </w:pPr>
    </w:p>
    <w:p w14:paraId="3B288513">
      <w:pPr>
        <w:spacing w:line="360" w:lineRule="auto"/>
        <w:ind w:right="240" w:firstLine="480"/>
        <w:rPr>
          <w:rFonts w:ascii="Garamond" w:hAnsi="Garamond"/>
          <w:color w:val="000000" w:themeColor="text1"/>
          <w:szCs w:val="21"/>
          <w:highlight w:val="none"/>
          <w14:textFill>
            <w14:solidFill>
              <w14:schemeClr w14:val="tx1"/>
            </w14:solidFill>
          </w14:textFill>
        </w:rPr>
      </w:pPr>
    </w:p>
    <w:p w14:paraId="47820848">
      <w:pPr>
        <w:spacing w:line="360" w:lineRule="auto"/>
        <w:ind w:right="240" w:firstLine="480"/>
        <w:rPr>
          <w:rFonts w:ascii="Garamond" w:hAnsi="Garamond"/>
          <w:color w:val="000000" w:themeColor="text1"/>
          <w:szCs w:val="21"/>
          <w:highlight w:val="none"/>
          <w14:textFill>
            <w14:solidFill>
              <w14:schemeClr w14:val="tx1"/>
            </w14:solidFill>
          </w14:textFill>
        </w:rPr>
      </w:pPr>
    </w:p>
    <w:p w14:paraId="5C6A00DA">
      <w:pPr>
        <w:spacing w:line="360" w:lineRule="auto"/>
        <w:jc w:val="center"/>
        <w:rPr>
          <w:rFonts w:ascii="Garamond" w:hAnsi="Garamond"/>
          <w:b/>
          <w:color w:val="000000" w:themeColor="text1"/>
          <w:sz w:val="30"/>
          <w:szCs w:val="30"/>
          <w:highlight w:val="none"/>
          <w14:textFill>
            <w14:solidFill>
              <w14:schemeClr w14:val="tx1"/>
            </w14:solidFill>
          </w14:textFill>
        </w:rPr>
        <w:sectPr>
          <w:pgSz w:w="11906" w:h="16838"/>
          <w:pgMar w:top="1417" w:right="1247" w:bottom="1417" w:left="1417" w:header="851" w:footer="680" w:gutter="0"/>
          <w:pgNumType w:fmt="decimal"/>
          <w:cols w:space="0" w:num="1"/>
          <w:docGrid w:linePitch="312" w:charSpace="0"/>
        </w:sectPr>
      </w:pPr>
    </w:p>
    <w:p w14:paraId="0D20E6F5">
      <w:pPr>
        <w:pStyle w:val="4"/>
        <w:jc w:val="center"/>
        <w:rPr>
          <w:rFonts w:ascii="Garamond" w:hAnsi="Garamond"/>
          <w:color w:val="000000" w:themeColor="text1"/>
          <w:sz w:val="28"/>
          <w:szCs w:val="28"/>
          <w:highlight w:val="none"/>
          <w14:textFill>
            <w14:solidFill>
              <w14:schemeClr w14:val="tx1"/>
            </w14:solidFill>
          </w14:textFill>
        </w:rPr>
      </w:pPr>
      <w:r>
        <w:rPr>
          <w:rFonts w:hint="eastAsia" w:ascii="Garamond" w:hAnsi="Garamond"/>
          <w:color w:val="000000" w:themeColor="text1"/>
          <w:sz w:val="28"/>
          <w:szCs w:val="28"/>
          <w:highlight w:val="none"/>
          <w14:textFill>
            <w14:solidFill>
              <w14:schemeClr w14:val="tx1"/>
            </w14:solidFill>
          </w14:textFill>
        </w:rPr>
        <w:t>五、资格审查及商务评审资料</w:t>
      </w:r>
    </w:p>
    <w:p w14:paraId="49C70EBA">
      <w:pPr>
        <w:ind w:firstLine="480"/>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表1企业信息基本表</w:t>
      </w:r>
    </w:p>
    <w:tbl>
      <w:tblPr>
        <w:tblStyle w:val="47"/>
        <w:tblW w:w="5000" w:type="pct"/>
        <w:jc w:val="center"/>
        <w:tblLayout w:type="autofit"/>
        <w:tblCellMar>
          <w:top w:w="0" w:type="dxa"/>
          <w:left w:w="0" w:type="dxa"/>
          <w:bottom w:w="0" w:type="dxa"/>
          <w:right w:w="0" w:type="dxa"/>
        </w:tblCellMar>
      </w:tblPr>
      <w:tblGrid>
        <w:gridCol w:w="1543"/>
        <w:gridCol w:w="1543"/>
        <w:gridCol w:w="1543"/>
        <w:gridCol w:w="1545"/>
        <w:gridCol w:w="1544"/>
        <w:gridCol w:w="1544"/>
      </w:tblGrid>
      <w:tr w14:paraId="31399F1F">
        <w:tblPrEx>
          <w:tblCellMar>
            <w:top w:w="0" w:type="dxa"/>
            <w:left w:w="0" w:type="dxa"/>
            <w:bottom w:w="0" w:type="dxa"/>
            <w:right w:w="0" w:type="dxa"/>
          </w:tblCellMar>
        </w:tblPrEx>
        <w:trPr>
          <w:trHeight w:val="260" w:hRule="atLeast"/>
          <w:jc w:val="center"/>
        </w:trPr>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43B27A6F">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申请人全称：</w:t>
            </w:r>
          </w:p>
        </w:tc>
        <w:tc>
          <w:tcPr>
            <w:tcW w:w="4166" w:type="pct"/>
            <w:gridSpan w:val="5"/>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3F7FF0A6">
            <w:pPr>
              <w:widowControl/>
              <w:jc w:val="center"/>
              <w:rPr>
                <w:rFonts w:hint="eastAsia" w:ascii="宋体" w:hAnsi="宋体" w:eastAsia="宋体" w:cs="宋体"/>
                <w:color w:val="000000" w:themeColor="text1"/>
                <w:szCs w:val="21"/>
                <w:highlight w:val="none"/>
                <w14:textFill>
                  <w14:solidFill>
                    <w14:schemeClr w14:val="tx1"/>
                  </w14:solidFill>
                </w14:textFill>
              </w:rPr>
            </w:pPr>
          </w:p>
        </w:tc>
      </w:tr>
      <w:tr w14:paraId="6F2EA5A7">
        <w:tblPrEx>
          <w:tblCellMar>
            <w:top w:w="0" w:type="dxa"/>
            <w:left w:w="0" w:type="dxa"/>
            <w:bottom w:w="0" w:type="dxa"/>
            <w:right w:w="0" w:type="dxa"/>
          </w:tblCellMar>
        </w:tblPrEx>
        <w:trPr>
          <w:trHeight w:val="260" w:hRule="atLeast"/>
          <w:jc w:val="center"/>
        </w:trPr>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8DFAAF9">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主要业务：</w:t>
            </w:r>
          </w:p>
        </w:tc>
        <w:tc>
          <w:tcPr>
            <w:tcW w:w="4166" w:type="pct"/>
            <w:gridSpan w:val="5"/>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2C7C7A64">
            <w:pPr>
              <w:widowControl/>
              <w:jc w:val="center"/>
              <w:rPr>
                <w:rFonts w:hint="eastAsia" w:ascii="宋体" w:hAnsi="宋体" w:eastAsia="宋体" w:cs="宋体"/>
                <w:color w:val="000000" w:themeColor="text1"/>
                <w:szCs w:val="21"/>
                <w:highlight w:val="none"/>
                <w14:textFill>
                  <w14:solidFill>
                    <w14:schemeClr w14:val="tx1"/>
                  </w14:solidFill>
                </w14:textFill>
              </w:rPr>
            </w:pPr>
          </w:p>
        </w:tc>
      </w:tr>
      <w:tr w14:paraId="2AE57ED1">
        <w:tblPrEx>
          <w:tblCellMar>
            <w:top w:w="0" w:type="dxa"/>
            <w:left w:w="0" w:type="dxa"/>
            <w:bottom w:w="0" w:type="dxa"/>
            <w:right w:w="0" w:type="dxa"/>
          </w:tblCellMar>
        </w:tblPrEx>
        <w:trPr>
          <w:trHeight w:val="260" w:hRule="atLeast"/>
          <w:jc w:val="center"/>
        </w:trPr>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3C0FF5EA">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营业范围：</w:t>
            </w:r>
          </w:p>
        </w:tc>
        <w:tc>
          <w:tcPr>
            <w:tcW w:w="4166" w:type="pct"/>
            <w:gridSpan w:val="5"/>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23B670F7">
            <w:pPr>
              <w:widowControl/>
              <w:jc w:val="center"/>
              <w:rPr>
                <w:rFonts w:hint="eastAsia" w:ascii="宋体" w:hAnsi="宋体" w:eastAsia="宋体" w:cs="宋体"/>
                <w:color w:val="000000" w:themeColor="text1"/>
                <w:szCs w:val="21"/>
                <w:highlight w:val="none"/>
                <w14:textFill>
                  <w14:solidFill>
                    <w14:schemeClr w14:val="tx1"/>
                  </w14:solidFill>
                </w14:textFill>
              </w:rPr>
            </w:pPr>
          </w:p>
        </w:tc>
      </w:tr>
      <w:tr w14:paraId="1B05F31A">
        <w:tblPrEx>
          <w:tblCellMar>
            <w:top w:w="0" w:type="dxa"/>
            <w:left w:w="0" w:type="dxa"/>
            <w:bottom w:w="0" w:type="dxa"/>
            <w:right w:w="0" w:type="dxa"/>
          </w:tblCellMar>
        </w:tblPrEx>
        <w:trPr>
          <w:trHeight w:val="260" w:hRule="atLeast"/>
          <w:jc w:val="center"/>
        </w:trPr>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55CE3A3D">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统一社会信用代码：</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008D75A1">
            <w:pPr>
              <w:widowControl/>
              <w:jc w:val="center"/>
              <w:rPr>
                <w:rFonts w:hint="eastAsia" w:ascii="宋体" w:hAnsi="宋体" w:eastAsia="宋体" w:cs="宋体"/>
                <w:color w:val="000000" w:themeColor="text1"/>
                <w:szCs w:val="21"/>
                <w:highlight w:val="none"/>
                <w14:textFill>
                  <w14:solidFill>
                    <w14:schemeClr w14:val="tx1"/>
                  </w14:solidFill>
                </w14:textFill>
              </w:rPr>
            </w:pP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7C7A8D0">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注册资本(元)：</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7852620">
            <w:pPr>
              <w:widowControl/>
              <w:jc w:val="center"/>
              <w:rPr>
                <w:rFonts w:hint="eastAsia" w:ascii="宋体" w:hAnsi="宋体" w:eastAsia="宋体" w:cs="宋体"/>
                <w:color w:val="000000" w:themeColor="text1"/>
                <w:szCs w:val="21"/>
                <w:highlight w:val="none"/>
                <w14:textFill>
                  <w14:solidFill>
                    <w14:schemeClr w14:val="tx1"/>
                  </w14:solidFill>
                </w14:textFill>
              </w:rPr>
            </w:pP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30487CDF">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信用等级：</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78870493">
            <w:pPr>
              <w:widowControl/>
              <w:jc w:val="center"/>
              <w:rPr>
                <w:rFonts w:hint="eastAsia" w:ascii="宋体" w:hAnsi="宋体" w:eastAsia="宋体" w:cs="宋体"/>
                <w:color w:val="000000" w:themeColor="text1"/>
                <w:szCs w:val="21"/>
                <w:highlight w:val="none"/>
                <w14:textFill>
                  <w14:solidFill>
                    <w14:schemeClr w14:val="tx1"/>
                  </w14:solidFill>
                </w14:textFill>
              </w:rPr>
            </w:pPr>
          </w:p>
        </w:tc>
      </w:tr>
      <w:tr w14:paraId="65DA9D04">
        <w:tblPrEx>
          <w:tblCellMar>
            <w:top w:w="0" w:type="dxa"/>
            <w:left w:w="0" w:type="dxa"/>
            <w:bottom w:w="0" w:type="dxa"/>
            <w:right w:w="0" w:type="dxa"/>
          </w:tblCellMar>
        </w:tblPrEx>
        <w:trPr>
          <w:trHeight w:val="260" w:hRule="atLeast"/>
          <w:jc w:val="center"/>
        </w:trPr>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7D3162E3">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建立日期：</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39B98F1">
            <w:pPr>
              <w:widowControl/>
              <w:jc w:val="center"/>
              <w:rPr>
                <w:rFonts w:hint="eastAsia" w:ascii="宋体" w:hAnsi="宋体" w:eastAsia="宋体" w:cs="宋体"/>
                <w:color w:val="000000" w:themeColor="text1"/>
                <w:szCs w:val="21"/>
                <w:highlight w:val="none"/>
                <w14:textFill>
                  <w14:solidFill>
                    <w14:schemeClr w14:val="tx1"/>
                  </w14:solidFill>
                </w14:textFill>
              </w:rPr>
            </w:pP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523702F6">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现有职工总人数(人)：</w:t>
            </w:r>
          </w:p>
        </w:tc>
        <w:tc>
          <w:tcPr>
            <w:tcW w:w="2500" w:type="pct"/>
            <w:gridSpan w:val="3"/>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7F3D37DA">
            <w:pPr>
              <w:widowControl/>
              <w:jc w:val="center"/>
              <w:rPr>
                <w:rFonts w:hint="eastAsia" w:ascii="宋体" w:hAnsi="宋体" w:eastAsia="宋体" w:cs="宋体"/>
                <w:color w:val="000000" w:themeColor="text1"/>
                <w:szCs w:val="21"/>
                <w:highlight w:val="none"/>
                <w14:textFill>
                  <w14:solidFill>
                    <w14:schemeClr w14:val="tx1"/>
                  </w14:solidFill>
                </w14:textFill>
              </w:rPr>
            </w:pPr>
          </w:p>
        </w:tc>
      </w:tr>
      <w:tr w14:paraId="16890BCF">
        <w:tblPrEx>
          <w:tblCellMar>
            <w:top w:w="0" w:type="dxa"/>
            <w:left w:w="0" w:type="dxa"/>
            <w:bottom w:w="0" w:type="dxa"/>
            <w:right w:w="0" w:type="dxa"/>
          </w:tblCellMar>
        </w:tblPrEx>
        <w:trPr>
          <w:trHeight w:val="260" w:hRule="atLeast"/>
          <w:jc w:val="center"/>
        </w:trPr>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B7C4A6F">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办公地址：</w:t>
            </w:r>
          </w:p>
        </w:tc>
        <w:tc>
          <w:tcPr>
            <w:tcW w:w="2500" w:type="pct"/>
            <w:gridSpan w:val="3"/>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495A794">
            <w:pPr>
              <w:widowControl/>
              <w:jc w:val="center"/>
              <w:rPr>
                <w:rFonts w:hint="eastAsia" w:ascii="宋体" w:hAnsi="宋体" w:eastAsia="宋体" w:cs="宋体"/>
                <w:color w:val="000000" w:themeColor="text1"/>
                <w:szCs w:val="21"/>
                <w:highlight w:val="none"/>
                <w14:textFill>
                  <w14:solidFill>
                    <w14:schemeClr w14:val="tx1"/>
                  </w14:solidFill>
                </w14:textFill>
              </w:rPr>
            </w:pP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3CC26CA">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邮编：</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29CE54A0">
            <w:pPr>
              <w:widowControl/>
              <w:jc w:val="center"/>
              <w:rPr>
                <w:rFonts w:hint="eastAsia" w:ascii="宋体" w:hAnsi="宋体" w:eastAsia="宋体" w:cs="宋体"/>
                <w:color w:val="000000" w:themeColor="text1"/>
                <w:szCs w:val="21"/>
                <w:highlight w:val="none"/>
                <w14:textFill>
                  <w14:solidFill>
                    <w14:schemeClr w14:val="tx1"/>
                  </w14:solidFill>
                </w14:textFill>
              </w:rPr>
            </w:pPr>
          </w:p>
        </w:tc>
      </w:tr>
      <w:tr w14:paraId="610D34EC">
        <w:tblPrEx>
          <w:tblCellMar>
            <w:top w:w="0" w:type="dxa"/>
            <w:left w:w="0" w:type="dxa"/>
            <w:bottom w:w="0" w:type="dxa"/>
            <w:right w:w="0" w:type="dxa"/>
          </w:tblCellMar>
        </w:tblPrEx>
        <w:trPr>
          <w:trHeight w:val="260" w:hRule="atLeast"/>
          <w:jc w:val="center"/>
        </w:trPr>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56FD43C">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联系电话：</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5B87B3C">
            <w:pPr>
              <w:widowControl/>
              <w:jc w:val="center"/>
              <w:rPr>
                <w:rFonts w:hint="eastAsia" w:ascii="宋体" w:hAnsi="宋体" w:eastAsia="宋体" w:cs="宋体"/>
                <w:color w:val="000000" w:themeColor="text1"/>
                <w:szCs w:val="21"/>
                <w:highlight w:val="none"/>
                <w14:textFill>
                  <w14:solidFill>
                    <w14:schemeClr w14:val="tx1"/>
                  </w14:solidFill>
                </w14:textFill>
              </w:rPr>
            </w:pP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51ECD18F">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传真：</w:t>
            </w:r>
          </w:p>
        </w:tc>
        <w:tc>
          <w:tcPr>
            <w:tcW w:w="2500" w:type="pct"/>
            <w:gridSpan w:val="3"/>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4A2ADDAB">
            <w:pPr>
              <w:widowControl/>
              <w:jc w:val="center"/>
              <w:rPr>
                <w:rFonts w:hint="eastAsia" w:ascii="宋体" w:hAnsi="宋体" w:eastAsia="宋体" w:cs="宋体"/>
                <w:color w:val="000000" w:themeColor="text1"/>
                <w:szCs w:val="21"/>
                <w:highlight w:val="none"/>
                <w14:textFill>
                  <w14:solidFill>
                    <w14:schemeClr w14:val="tx1"/>
                  </w14:solidFill>
                </w14:textFill>
              </w:rPr>
            </w:pPr>
          </w:p>
        </w:tc>
      </w:tr>
      <w:tr w14:paraId="5781C57E">
        <w:tblPrEx>
          <w:tblCellMar>
            <w:top w:w="0" w:type="dxa"/>
            <w:left w:w="0" w:type="dxa"/>
            <w:bottom w:w="0" w:type="dxa"/>
            <w:right w:w="0" w:type="dxa"/>
          </w:tblCellMar>
        </w:tblPrEx>
        <w:trPr>
          <w:trHeight w:val="260" w:hRule="atLeast"/>
          <w:jc w:val="center"/>
        </w:trPr>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4976E6E8">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法人代表姓名：</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7B7A1340">
            <w:pPr>
              <w:widowControl/>
              <w:jc w:val="center"/>
              <w:rPr>
                <w:rFonts w:hint="eastAsia" w:ascii="宋体" w:hAnsi="宋体" w:eastAsia="宋体" w:cs="宋体"/>
                <w:color w:val="000000" w:themeColor="text1"/>
                <w:szCs w:val="21"/>
                <w:highlight w:val="none"/>
                <w14:textFill>
                  <w14:solidFill>
                    <w14:schemeClr w14:val="tx1"/>
                  </w14:solidFill>
                </w14:textFill>
              </w:rPr>
            </w:pP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58EAC86C">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职务：</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374CD6F">
            <w:pPr>
              <w:widowControl/>
              <w:jc w:val="center"/>
              <w:rPr>
                <w:rFonts w:hint="eastAsia" w:ascii="宋体" w:hAnsi="宋体" w:eastAsia="宋体" w:cs="宋体"/>
                <w:color w:val="000000" w:themeColor="text1"/>
                <w:szCs w:val="21"/>
                <w:highlight w:val="none"/>
                <w14:textFill>
                  <w14:solidFill>
                    <w14:schemeClr w14:val="tx1"/>
                  </w14:solidFill>
                </w14:textFill>
              </w:rPr>
            </w:pP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7813CAD8">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联系电话：</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85ADCA4">
            <w:pPr>
              <w:widowControl/>
              <w:jc w:val="center"/>
              <w:rPr>
                <w:rFonts w:hint="eastAsia" w:ascii="宋体" w:hAnsi="宋体" w:eastAsia="宋体" w:cs="宋体"/>
                <w:color w:val="000000" w:themeColor="text1"/>
                <w:szCs w:val="21"/>
                <w:highlight w:val="none"/>
                <w14:textFill>
                  <w14:solidFill>
                    <w14:schemeClr w14:val="tx1"/>
                  </w14:solidFill>
                </w14:textFill>
              </w:rPr>
            </w:pPr>
          </w:p>
        </w:tc>
      </w:tr>
      <w:tr w14:paraId="23F6D6C4">
        <w:tblPrEx>
          <w:tblCellMar>
            <w:top w:w="0" w:type="dxa"/>
            <w:left w:w="0" w:type="dxa"/>
            <w:bottom w:w="0" w:type="dxa"/>
            <w:right w:w="0" w:type="dxa"/>
          </w:tblCellMar>
        </w:tblPrEx>
        <w:trPr>
          <w:trHeight w:val="260" w:hRule="atLeast"/>
          <w:jc w:val="center"/>
        </w:trPr>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70980B6">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技术负责人姓名：</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2D826C5D">
            <w:pPr>
              <w:widowControl/>
              <w:jc w:val="center"/>
              <w:rPr>
                <w:rFonts w:hint="eastAsia" w:ascii="宋体" w:hAnsi="宋体" w:eastAsia="宋体" w:cs="宋体"/>
                <w:color w:val="000000" w:themeColor="text1"/>
                <w:szCs w:val="21"/>
                <w:highlight w:val="none"/>
                <w14:textFill>
                  <w14:solidFill>
                    <w14:schemeClr w14:val="tx1"/>
                  </w14:solidFill>
                </w14:textFill>
              </w:rPr>
            </w:pP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2F132049">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技术负责人职务：</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58A1056">
            <w:pPr>
              <w:widowControl/>
              <w:jc w:val="center"/>
              <w:rPr>
                <w:rFonts w:hint="eastAsia" w:ascii="宋体" w:hAnsi="宋体" w:eastAsia="宋体" w:cs="宋体"/>
                <w:color w:val="000000" w:themeColor="text1"/>
                <w:szCs w:val="21"/>
                <w:highlight w:val="none"/>
                <w14:textFill>
                  <w14:solidFill>
                    <w14:schemeClr w14:val="tx1"/>
                  </w14:solidFill>
                </w14:textFill>
              </w:rPr>
            </w:pP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0A940F8E">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技术负责人电话：</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52B77D18">
            <w:pPr>
              <w:widowControl/>
              <w:jc w:val="center"/>
              <w:rPr>
                <w:rFonts w:hint="eastAsia" w:ascii="宋体" w:hAnsi="宋体" w:eastAsia="宋体" w:cs="宋体"/>
                <w:color w:val="000000" w:themeColor="text1"/>
                <w:szCs w:val="21"/>
                <w:highlight w:val="none"/>
                <w14:textFill>
                  <w14:solidFill>
                    <w14:schemeClr w14:val="tx1"/>
                  </w14:solidFill>
                </w14:textFill>
              </w:rPr>
            </w:pPr>
          </w:p>
        </w:tc>
      </w:tr>
      <w:tr w14:paraId="7B966B2F">
        <w:tblPrEx>
          <w:tblCellMar>
            <w:top w:w="0" w:type="dxa"/>
            <w:left w:w="0" w:type="dxa"/>
            <w:bottom w:w="0" w:type="dxa"/>
            <w:right w:w="0" w:type="dxa"/>
          </w:tblCellMar>
        </w:tblPrEx>
        <w:trPr>
          <w:trHeight w:val="260" w:hRule="atLeast"/>
          <w:jc w:val="center"/>
        </w:trPr>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58CBF3A6">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联系人姓名：</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28691457">
            <w:pPr>
              <w:widowControl/>
              <w:jc w:val="center"/>
              <w:rPr>
                <w:rFonts w:hint="eastAsia" w:ascii="宋体" w:hAnsi="宋体" w:eastAsia="宋体" w:cs="宋体"/>
                <w:color w:val="000000" w:themeColor="text1"/>
                <w:szCs w:val="21"/>
                <w:highlight w:val="none"/>
                <w14:textFill>
                  <w14:solidFill>
                    <w14:schemeClr w14:val="tx1"/>
                  </w14:solidFill>
                </w14:textFill>
              </w:rPr>
            </w:pP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40AB0918">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联系人职务：</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76BE06BA">
            <w:pPr>
              <w:widowControl/>
              <w:jc w:val="center"/>
              <w:rPr>
                <w:rFonts w:hint="eastAsia" w:ascii="宋体" w:hAnsi="宋体" w:eastAsia="宋体" w:cs="宋体"/>
                <w:color w:val="000000" w:themeColor="text1"/>
                <w:szCs w:val="21"/>
                <w:highlight w:val="none"/>
                <w14:textFill>
                  <w14:solidFill>
                    <w14:schemeClr w14:val="tx1"/>
                  </w14:solidFill>
                </w14:textFill>
              </w:rPr>
            </w:pP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36C77A01">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联系人电话：</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3DDF7364">
            <w:pPr>
              <w:widowControl/>
              <w:jc w:val="center"/>
              <w:rPr>
                <w:rFonts w:hint="eastAsia" w:ascii="宋体" w:hAnsi="宋体" w:eastAsia="宋体" w:cs="宋体"/>
                <w:color w:val="000000" w:themeColor="text1"/>
                <w:szCs w:val="21"/>
                <w:highlight w:val="none"/>
                <w14:textFill>
                  <w14:solidFill>
                    <w14:schemeClr w14:val="tx1"/>
                  </w14:solidFill>
                </w14:textFill>
              </w:rPr>
            </w:pPr>
          </w:p>
        </w:tc>
      </w:tr>
      <w:tr w14:paraId="4ADAFC5F">
        <w:tblPrEx>
          <w:tblCellMar>
            <w:top w:w="0" w:type="dxa"/>
            <w:left w:w="0" w:type="dxa"/>
            <w:bottom w:w="0" w:type="dxa"/>
            <w:right w:w="0" w:type="dxa"/>
          </w:tblCellMar>
        </w:tblPrEx>
        <w:trPr>
          <w:trHeight w:val="260" w:hRule="atLeast"/>
          <w:jc w:val="center"/>
        </w:trPr>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0443104D">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联系人邮箱：</w:t>
            </w:r>
          </w:p>
        </w:tc>
        <w:tc>
          <w:tcPr>
            <w:tcW w:w="4166" w:type="pct"/>
            <w:gridSpan w:val="5"/>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5708117A">
            <w:pPr>
              <w:widowControl/>
              <w:jc w:val="center"/>
              <w:rPr>
                <w:rFonts w:hint="eastAsia" w:ascii="宋体" w:hAnsi="宋体" w:eastAsia="宋体" w:cs="宋体"/>
                <w:color w:val="000000" w:themeColor="text1"/>
                <w:szCs w:val="21"/>
                <w:highlight w:val="none"/>
                <w14:textFill>
                  <w14:solidFill>
                    <w14:schemeClr w14:val="tx1"/>
                  </w14:solidFill>
                </w14:textFill>
              </w:rPr>
            </w:pPr>
          </w:p>
        </w:tc>
      </w:tr>
      <w:tr w14:paraId="60AC29A7">
        <w:tblPrEx>
          <w:tblCellMar>
            <w:top w:w="0" w:type="dxa"/>
            <w:left w:w="0" w:type="dxa"/>
            <w:bottom w:w="0" w:type="dxa"/>
            <w:right w:w="0" w:type="dxa"/>
          </w:tblCellMar>
        </w:tblPrEx>
        <w:trPr>
          <w:trHeight w:val="260" w:hRule="atLeast"/>
          <w:jc w:val="center"/>
        </w:trPr>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7825A0F6">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企业资质名称及等级：</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32173E44">
            <w:pPr>
              <w:widowControl/>
              <w:jc w:val="center"/>
              <w:rPr>
                <w:rFonts w:hint="eastAsia" w:ascii="宋体" w:hAnsi="宋体" w:eastAsia="宋体" w:cs="宋体"/>
                <w:color w:val="000000" w:themeColor="text1"/>
                <w:szCs w:val="21"/>
                <w:highlight w:val="none"/>
                <w14:textFill>
                  <w14:solidFill>
                    <w14:schemeClr w14:val="tx1"/>
                  </w14:solidFill>
                </w14:textFill>
              </w:rPr>
            </w:pP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4D7B3772">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企业资质证书号：</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891E471">
            <w:pPr>
              <w:widowControl/>
              <w:jc w:val="center"/>
              <w:rPr>
                <w:rFonts w:hint="eastAsia" w:ascii="宋体" w:hAnsi="宋体" w:eastAsia="宋体" w:cs="宋体"/>
                <w:color w:val="000000" w:themeColor="text1"/>
                <w:szCs w:val="21"/>
                <w:highlight w:val="none"/>
                <w14:textFill>
                  <w14:solidFill>
                    <w14:schemeClr w14:val="tx1"/>
                  </w14:solidFill>
                </w14:textFill>
              </w:rPr>
            </w:pP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26E310DA">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企业资质有效期：</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D61573F">
            <w:pPr>
              <w:widowControl/>
              <w:jc w:val="center"/>
              <w:rPr>
                <w:rFonts w:hint="eastAsia" w:ascii="宋体" w:hAnsi="宋体" w:eastAsia="宋体" w:cs="宋体"/>
                <w:color w:val="000000" w:themeColor="text1"/>
                <w:szCs w:val="21"/>
                <w:highlight w:val="none"/>
                <w14:textFill>
                  <w14:solidFill>
                    <w14:schemeClr w14:val="tx1"/>
                  </w14:solidFill>
                </w14:textFill>
              </w:rPr>
            </w:pPr>
          </w:p>
        </w:tc>
      </w:tr>
      <w:tr w14:paraId="66BB7628">
        <w:tblPrEx>
          <w:tblCellMar>
            <w:top w:w="0" w:type="dxa"/>
            <w:left w:w="0" w:type="dxa"/>
            <w:bottom w:w="0" w:type="dxa"/>
            <w:right w:w="0" w:type="dxa"/>
          </w:tblCellMar>
        </w:tblPrEx>
        <w:trPr>
          <w:trHeight w:val="520" w:hRule="atLeast"/>
          <w:jc w:val="center"/>
        </w:trPr>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297021CC">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安全许可证证书编号：</w:t>
            </w:r>
          </w:p>
        </w:tc>
        <w:tc>
          <w:tcPr>
            <w:tcW w:w="2500" w:type="pct"/>
            <w:gridSpan w:val="3"/>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58ED1DB4">
            <w:pPr>
              <w:widowControl/>
              <w:jc w:val="center"/>
              <w:rPr>
                <w:rFonts w:hint="eastAsia" w:ascii="宋体" w:hAnsi="宋体" w:eastAsia="宋体" w:cs="宋体"/>
                <w:color w:val="000000" w:themeColor="text1"/>
                <w:szCs w:val="21"/>
                <w:highlight w:val="none"/>
                <w14:textFill>
                  <w14:solidFill>
                    <w14:schemeClr w14:val="tx1"/>
                  </w14:solidFill>
                </w14:textFill>
              </w:rPr>
            </w:pP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752E712E">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安全许可证证书有效期：</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0D719D07">
            <w:pPr>
              <w:widowControl/>
              <w:jc w:val="center"/>
              <w:rPr>
                <w:rFonts w:hint="eastAsia" w:ascii="宋体" w:hAnsi="宋体" w:eastAsia="宋体" w:cs="宋体"/>
                <w:color w:val="000000" w:themeColor="text1"/>
                <w:szCs w:val="21"/>
                <w:highlight w:val="none"/>
                <w14:textFill>
                  <w14:solidFill>
                    <w14:schemeClr w14:val="tx1"/>
                  </w14:solidFill>
                </w14:textFill>
              </w:rPr>
            </w:pPr>
          </w:p>
        </w:tc>
      </w:tr>
      <w:tr w14:paraId="20988E1E">
        <w:tblPrEx>
          <w:tblCellMar>
            <w:top w:w="0" w:type="dxa"/>
            <w:left w:w="0" w:type="dxa"/>
            <w:bottom w:w="0" w:type="dxa"/>
            <w:right w:w="0" w:type="dxa"/>
          </w:tblCellMar>
        </w:tblPrEx>
        <w:trPr>
          <w:trHeight w:val="260" w:hRule="atLeast"/>
          <w:jc w:val="center"/>
        </w:trPr>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E121365">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基本户开户行：</w:t>
            </w:r>
          </w:p>
        </w:tc>
        <w:tc>
          <w:tcPr>
            <w:tcW w:w="2500" w:type="pct"/>
            <w:gridSpan w:val="3"/>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3A520E98">
            <w:pPr>
              <w:widowControl/>
              <w:jc w:val="center"/>
              <w:rPr>
                <w:rFonts w:hint="eastAsia" w:ascii="宋体" w:hAnsi="宋体" w:eastAsia="宋体" w:cs="宋体"/>
                <w:color w:val="000000" w:themeColor="text1"/>
                <w:szCs w:val="21"/>
                <w:highlight w:val="none"/>
                <w14:textFill>
                  <w14:solidFill>
                    <w14:schemeClr w14:val="tx1"/>
                  </w14:solidFill>
                </w14:textFill>
              </w:rPr>
            </w:pP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77E8A667">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基本户户名：</w:t>
            </w:r>
          </w:p>
        </w:tc>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577427CA">
            <w:pPr>
              <w:widowControl/>
              <w:jc w:val="center"/>
              <w:rPr>
                <w:rFonts w:hint="eastAsia" w:ascii="宋体" w:hAnsi="宋体" w:eastAsia="宋体" w:cs="宋体"/>
                <w:color w:val="000000" w:themeColor="text1"/>
                <w:szCs w:val="21"/>
                <w:highlight w:val="none"/>
                <w14:textFill>
                  <w14:solidFill>
                    <w14:schemeClr w14:val="tx1"/>
                  </w14:solidFill>
                </w14:textFill>
              </w:rPr>
            </w:pPr>
          </w:p>
        </w:tc>
      </w:tr>
      <w:tr w14:paraId="2746798D">
        <w:tblPrEx>
          <w:tblCellMar>
            <w:top w:w="0" w:type="dxa"/>
            <w:left w:w="0" w:type="dxa"/>
            <w:bottom w:w="0" w:type="dxa"/>
            <w:right w:w="0" w:type="dxa"/>
          </w:tblCellMar>
        </w:tblPrEx>
        <w:trPr>
          <w:trHeight w:val="260" w:hRule="atLeast"/>
          <w:jc w:val="center"/>
        </w:trPr>
        <w:tc>
          <w:tcPr>
            <w:tcW w:w="833" w:type="pc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0392B6B">
            <w:pPr>
              <w:widowControl/>
              <w:jc w:val="center"/>
              <w:textAlignment w:val="bottom"/>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基本户账号：</w:t>
            </w:r>
          </w:p>
        </w:tc>
        <w:tc>
          <w:tcPr>
            <w:tcW w:w="4166" w:type="pct"/>
            <w:gridSpan w:val="5"/>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020EA1F7">
            <w:pPr>
              <w:widowControl/>
              <w:jc w:val="center"/>
              <w:rPr>
                <w:rFonts w:hint="eastAsia" w:ascii="宋体" w:hAnsi="宋体" w:eastAsia="宋体" w:cs="宋体"/>
                <w:color w:val="000000" w:themeColor="text1"/>
                <w:szCs w:val="21"/>
                <w:highlight w:val="none"/>
                <w14:textFill>
                  <w14:solidFill>
                    <w14:schemeClr w14:val="tx1"/>
                  </w14:solidFill>
                </w14:textFill>
              </w:rPr>
            </w:pPr>
          </w:p>
        </w:tc>
      </w:tr>
    </w:tbl>
    <w:p w14:paraId="452D4F85">
      <w:pPr>
        <w:rPr>
          <w:rFonts w:ascii="Garamond" w:hAnsi="Garamond"/>
          <w:color w:val="000000" w:themeColor="text1"/>
          <w:sz w:val="24"/>
          <w:highlight w:val="none"/>
          <w14:textFill>
            <w14:solidFill>
              <w14:schemeClr w14:val="tx1"/>
            </w14:solidFill>
          </w14:textFill>
        </w:rPr>
      </w:pPr>
    </w:p>
    <w:p w14:paraId="2F6C7D07">
      <w:pPr>
        <w:rPr>
          <w:rFonts w:ascii="Garamond" w:hAnsi="Garamond"/>
          <w:color w:val="000000" w:themeColor="text1"/>
          <w:szCs w:val="21"/>
          <w:highlight w:val="none"/>
          <w14:textFill>
            <w14:solidFill>
              <w14:schemeClr w14:val="tx1"/>
            </w14:solidFill>
          </w14:textFill>
        </w:rPr>
      </w:pPr>
    </w:p>
    <w:p w14:paraId="6F06872B">
      <w:pPr>
        <w:widowControl/>
        <w:jc w:val="left"/>
        <w:textAlignment w:val="bottom"/>
        <w:rPr>
          <w:rFonts w:ascii="Garamond" w:hAnsi="Garamond" w:cs="Arial"/>
          <w:color w:val="000000" w:themeColor="text1"/>
          <w:kern w:val="0"/>
          <w:szCs w:val="21"/>
          <w:highlight w:val="none"/>
          <w14:textFill>
            <w14:solidFill>
              <w14:schemeClr w14:val="tx1"/>
            </w14:solidFill>
          </w14:textFill>
        </w:rPr>
      </w:pPr>
      <w:r>
        <w:rPr>
          <w:rFonts w:ascii="Garamond" w:hAnsi="Garamond" w:cs="Arial"/>
          <w:color w:val="000000" w:themeColor="text1"/>
          <w:kern w:val="0"/>
          <w:szCs w:val="21"/>
          <w:highlight w:val="none"/>
          <w14:textFill>
            <w14:solidFill>
              <w14:schemeClr w14:val="tx1"/>
            </w14:solidFill>
          </w14:textFill>
        </w:rPr>
        <w:t>注：</w:t>
      </w:r>
    </w:p>
    <w:p w14:paraId="302FBD57">
      <w:pPr>
        <w:widowControl/>
        <w:jc w:val="left"/>
        <w:textAlignment w:val="bottom"/>
        <w:rPr>
          <w:rFonts w:ascii="Garamond" w:hAnsi="Garamond" w:cs="Arial"/>
          <w:color w:val="000000" w:themeColor="text1"/>
          <w:kern w:val="0"/>
          <w:szCs w:val="21"/>
          <w:highlight w:val="none"/>
          <w14:textFill>
            <w14:solidFill>
              <w14:schemeClr w14:val="tx1"/>
            </w14:solidFill>
          </w14:textFill>
        </w:rPr>
      </w:pPr>
      <w:r>
        <w:rPr>
          <w:rFonts w:ascii="Garamond" w:hAnsi="Garamond" w:cs="Arial"/>
          <w:color w:val="000000" w:themeColor="text1"/>
          <w:kern w:val="0"/>
          <w:szCs w:val="21"/>
          <w:highlight w:val="none"/>
          <w14:textFill>
            <w14:solidFill>
              <w14:schemeClr w14:val="tx1"/>
            </w14:solidFill>
          </w14:textFill>
        </w:rPr>
        <w:t xml:space="preserve">1.投标人所填写的“企业资质名称及等级、证书号、有效期”等投标人基本信息应至少对应本项目资格审查要求，否则不能通过资格审查。 </w:t>
      </w:r>
    </w:p>
    <w:p w14:paraId="020935A0">
      <w:pPr>
        <w:widowControl/>
        <w:jc w:val="left"/>
        <w:textAlignment w:val="bottom"/>
        <w:rPr>
          <w:rFonts w:ascii="Garamond" w:hAnsi="Garamond" w:cs="Arial"/>
          <w:color w:val="000000" w:themeColor="text1"/>
          <w:kern w:val="0"/>
          <w:szCs w:val="21"/>
          <w:highlight w:val="none"/>
          <w14:textFill>
            <w14:solidFill>
              <w14:schemeClr w14:val="tx1"/>
            </w14:solidFill>
          </w14:textFill>
        </w:rPr>
      </w:pPr>
      <w:r>
        <w:rPr>
          <w:rFonts w:ascii="Garamond" w:hAnsi="Garamond" w:cs="Arial"/>
          <w:color w:val="000000" w:themeColor="text1"/>
          <w:kern w:val="0"/>
          <w:szCs w:val="21"/>
          <w:highlight w:val="none"/>
          <w14:textFill>
            <w14:solidFill>
              <w14:schemeClr w14:val="tx1"/>
            </w14:solidFill>
          </w14:textFill>
        </w:rPr>
        <w:t>2.本表后附如下资料至少包括以下：</w:t>
      </w:r>
    </w:p>
    <w:p w14:paraId="3941E656">
      <w:pPr>
        <w:widowControl/>
        <w:jc w:val="left"/>
        <w:textAlignment w:val="bottom"/>
        <w:rPr>
          <w:rFonts w:ascii="Garamond" w:hAnsi="Garamond" w:cs="Arial"/>
          <w:color w:val="000000" w:themeColor="text1"/>
          <w:kern w:val="0"/>
          <w:szCs w:val="21"/>
          <w:highlight w:val="none"/>
          <w14:textFill>
            <w14:solidFill>
              <w14:schemeClr w14:val="tx1"/>
            </w14:solidFill>
          </w14:textFill>
        </w:rPr>
      </w:pPr>
      <w:r>
        <w:rPr>
          <w:rFonts w:ascii="Garamond" w:hAnsi="Garamond" w:cs="Arial"/>
          <w:color w:val="000000" w:themeColor="text1"/>
          <w:kern w:val="0"/>
          <w:szCs w:val="21"/>
          <w:highlight w:val="none"/>
          <w14:textFill>
            <w14:solidFill>
              <w14:schemeClr w14:val="tx1"/>
            </w14:solidFill>
          </w14:textFill>
        </w:rPr>
        <w:t>（1）投标人的具有有效营业执照或事业单位法人登记证书、</w:t>
      </w:r>
      <w:r>
        <w:rPr>
          <w:rFonts w:hint="eastAsia" w:ascii="Garamond" w:hAnsi="Garamond" w:cs="Arial"/>
          <w:color w:val="000000" w:themeColor="text1"/>
          <w:kern w:val="0"/>
          <w:szCs w:val="21"/>
          <w:highlight w:val="none"/>
          <w14:textFill>
            <w14:solidFill>
              <w14:schemeClr w14:val="tx1"/>
            </w14:solidFill>
          </w14:textFill>
        </w:rPr>
        <w:t>具有有效的基本账户开户许可证（或基本存款账户信息）、</w:t>
      </w:r>
      <w:r>
        <w:rPr>
          <w:rFonts w:ascii="Garamond" w:hAnsi="Garamond" w:cs="Arial"/>
          <w:color w:val="000000" w:themeColor="text1"/>
          <w:kern w:val="0"/>
          <w:szCs w:val="21"/>
          <w:highlight w:val="none"/>
          <w14:textFill>
            <w14:solidFill>
              <w14:schemeClr w14:val="tx1"/>
            </w14:solidFill>
          </w14:textFill>
        </w:rPr>
        <w:t xml:space="preserve">资质证书的复印件或扫描件。 </w:t>
      </w:r>
    </w:p>
    <w:p w14:paraId="083094FA">
      <w:pPr>
        <w:widowControl/>
        <w:jc w:val="left"/>
        <w:textAlignment w:val="bottom"/>
        <w:rPr>
          <w:rFonts w:ascii="Garamond" w:hAnsi="Garamond" w:cs="Arial"/>
          <w:color w:val="000000" w:themeColor="text1"/>
          <w:kern w:val="0"/>
          <w:szCs w:val="21"/>
          <w:highlight w:val="none"/>
          <w14:textFill>
            <w14:solidFill>
              <w14:schemeClr w14:val="tx1"/>
            </w14:solidFill>
          </w14:textFill>
        </w:rPr>
      </w:pPr>
      <w:r>
        <w:rPr>
          <w:rFonts w:ascii="Garamond" w:hAnsi="Garamond" w:cs="Arial"/>
          <w:color w:val="000000" w:themeColor="text1"/>
          <w:kern w:val="0"/>
          <w:szCs w:val="21"/>
          <w:highlight w:val="none"/>
          <w14:textFill>
            <w14:solidFill>
              <w14:schemeClr w14:val="tx1"/>
            </w14:solidFill>
          </w14:textFill>
        </w:rPr>
        <w:t>（2）在“信用中国”网站（http://www.creditchina.gov.cn/）查询的投标人信用情况截图。</w:t>
      </w:r>
    </w:p>
    <w:p w14:paraId="341806AF">
      <w:pPr>
        <w:widowControl/>
        <w:jc w:val="left"/>
        <w:textAlignment w:val="bottom"/>
        <w:rPr>
          <w:color w:val="000000" w:themeColor="text1"/>
          <w:highlight w:val="none"/>
          <w14:textFill>
            <w14:solidFill>
              <w14:schemeClr w14:val="tx1"/>
            </w14:solidFill>
          </w14:textFill>
        </w:rPr>
      </w:pPr>
      <w:r>
        <w:rPr>
          <w:rFonts w:ascii="Garamond" w:hAnsi="Garamond" w:cs="Arial"/>
          <w:color w:val="000000" w:themeColor="text1"/>
          <w:kern w:val="0"/>
          <w:szCs w:val="21"/>
          <w:highlight w:val="none"/>
          <w14:textFill>
            <w14:solidFill>
              <w14:schemeClr w14:val="tx1"/>
            </w14:solidFill>
          </w14:textFill>
        </w:rPr>
        <w:t>（3）在国家企业信用信息公示系统（http://www.gxt.gov.cn/）查询的投标人信用情况截图。</w:t>
      </w:r>
    </w:p>
    <w:p w14:paraId="48BD8E1D">
      <w:pPr>
        <w:rPr>
          <w:rFonts w:ascii="Garamond" w:hAnsi="Garamond"/>
          <w:b/>
          <w:bCs/>
          <w:color w:val="000000" w:themeColor="text1"/>
          <w:sz w:val="24"/>
          <w:highlight w:val="none"/>
          <w14:textFill>
            <w14:solidFill>
              <w14:schemeClr w14:val="tx1"/>
            </w14:solidFill>
          </w14:textFill>
        </w:rPr>
      </w:pPr>
      <w:r>
        <w:rPr>
          <w:rFonts w:ascii="Garamond" w:hAnsi="Garamond"/>
          <w:b/>
          <w:bCs/>
          <w:color w:val="000000" w:themeColor="text1"/>
          <w:sz w:val="24"/>
          <w:highlight w:val="none"/>
          <w14:textFill>
            <w14:solidFill>
              <w14:schemeClr w14:val="tx1"/>
            </w14:solidFill>
          </w14:textFill>
        </w:rPr>
        <w:br w:type="page"/>
      </w:r>
    </w:p>
    <w:p w14:paraId="2579FACE">
      <w:pPr>
        <w:ind w:firstLine="482"/>
        <w:jc w:val="cente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表2拟投入本标段主要人员情况表</w:t>
      </w:r>
    </w:p>
    <w:tbl>
      <w:tblPr>
        <w:tblStyle w:val="47"/>
        <w:tblW w:w="4995" w:type="pct"/>
        <w:tblInd w:w="0" w:type="dxa"/>
        <w:tblLayout w:type="autofit"/>
        <w:tblCellMar>
          <w:top w:w="0" w:type="dxa"/>
          <w:left w:w="0" w:type="dxa"/>
          <w:bottom w:w="0" w:type="dxa"/>
          <w:right w:w="0" w:type="dxa"/>
        </w:tblCellMar>
      </w:tblPr>
      <w:tblGrid>
        <w:gridCol w:w="392"/>
        <w:gridCol w:w="1218"/>
        <w:gridCol w:w="392"/>
        <w:gridCol w:w="392"/>
        <w:gridCol w:w="609"/>
        <w:gridCol w:w="609"/>
        <w:gridCol w:w="609"/>
        <w:gridCol w:w="392"/>
        <w:gridCol w:w="1220"/>
        <w:gridCol w:w="855"/>
        <w:gridCol w:w="855"/>
        <w:gridCol w:w="855"/>
        <w:gridCol w:w="855"/>
      </w:tblGrid>
      <w:tr w14:paraId="5A759657">
        <w:tblPrEx>
          <w:tblCellMar>
            <w:top w:w="0" w:type="dxa"/>
            <w:left w:w="0" w:type="dxa"/>
            <w:bottom w:w="0" w:type="dxa"/>
            <w:right w:w="0" w:type="dxa"/>
          </w:tblCellMar>
        </w:tblPrEx>
        <w:trPr>
          <w:trHeight w:val="260" w:hRule="atLeast"/>
        </w:trPr>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C14BE51">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序号</w:t>
            </w:r>
          </w:p>
        </w:tc>
        <w:tc>
          <w:tcPr>
            <w:tcW w:w="658"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67ED5266">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在本项目中担任职务</w:t>
            </w:r>
          </w:p>
        </w:tc>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B157353">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姓名</w:t>
            </w:r>
          </w:p>
        </w:tc>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0C0CA99">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年龄</w:t>
            </w:r>
          </w:p>
        </w:tc>
        <w:tc>
          <w:tcPr>
            <w:tcW w:w="32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3A9D8C8">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技术职称</w:t>
            </w:r>
          </w:p>
        </w:tc>
        <w:tc>
          <w:tcPr>
            <w:tcW w:w="32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72DECAA">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职称专业</w:t>
            </w:r>
          </w:p>
        </w:tc>
        <w:tc>
          <w:tcPr>
            <w:tcW w:w="32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B15C7FF">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工作年限</w:t>
            </w:r>
          </w:p>
        </w:tc>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4302ED4">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学历</w:t>
            </w:r>
          </w:p>
        </w:tc>
        <w:tc>
          <w:tcPr>
            <w:tcW w:w="65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E739872">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学历专业</w:t>
            </w: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74DE0D0">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执业资格名称</w:t>
            </w: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A50273D">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执业资格等级</w:t>
            </w: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16A419B6">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执业资格编号</w:t>
            </w: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5972FE4">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执业资格有效期</w:t>
            </w:r>
          </w:p>
        </w:tc>
      </w:tr>
      <w:tr w14:paraId="1B3A2693">
        <w:tblPrEx>
          <w:tblCellMar>
            <w:top w:w="0" w:type="dxa"/>
            <w:left w:w="0" w:type="dxa"/>
            <w:bottom w:w="0" w:type="dxa"/>
            <w:right w:w="0" w:type="dxa"/>
          </w:tblCellMar>
        </w:tblPrEx>
        <w:trPr>
          <w:trHeight w:val="250" w:hRule="atLeast"/>
        </w:trPr>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CAB4909">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1</w:t>
            </w:r>
          </w:p>
        </w:tc>
        <w:tc>
          <w:tcPr>
            <w:tcW w:w="658"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65D7D5D2">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6CF1FE8">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001EBDD">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32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A1479BF">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32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66E333C">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32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101CBD39">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1B44C64F">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65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6383F6C0">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5C6622B">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07A5961">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7D2CD79">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FE70CE2">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65303C6B">
        <w:tblPrEx>
          <w:tblCellMar>
            <w:top w:w="0" w:type="dxa"/>
            <w:left w:w="0" w:type="dxa"/>
            <w:bottom w:w="0" w:type="dxa"/>
            <w:right w:w="0" w:type="dxa"/>
          </w:tblCellMar>
        </w:tblPrEx>
        <w:trPr>
          <w:trHeight w:val="250" w:hRule="atLeast"/>
        </w:trPr>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3F68471">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2</w:t>
            </w:r>
          </w:p>
        </w:tc>
        <w:tc>
          <w:tcPr>
            <w:tcW w:w="658"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1C165BE">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1968B0C4">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D13A9FF">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32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2CC2FAA">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32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8AA87A2">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32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E3C0FC9">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6AD7673">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65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53F39C3">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3A2B51F">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104FF66D">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70A0113">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658AA420">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5EDF47BF">
        <w:tblPrEx>
          <w:tblCellMar>
            <w:top w:w="0" w:type="dxa"/>
            <w:left w:w="0" w:type="dxa"/>
            <w:bottom w:w="0" w:type="dxa"/>
            <w:right w:w="0" w:type="dxa"/>
          </w:tblCellMar>
        </w:tblPrEx>
        <w:trPr>
          <w:trHeight w:val="250" w:hRule="atLeast"/>
        </w:trPr>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632D289">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w:t>
            </w:r>
          </w:p>
        </w:tc>
        <w:tc>
          <w:tcPr>
            <w:tcW w:w="658"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583C946">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F00D6CF">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6D50FEAF">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32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77B9193">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32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06803F5">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32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A1EAF49">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21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1A2822F">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65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6870E43C">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9CC2282">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4825C56">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B0E61DB">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46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B9C5918">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bl>
    <w:p w14:paraId="0A1090B1">
      <w:pPr>
        <w:pStyle w:val="5"/>
        <w:spacing w:line="276" w:lineRule="auto"/>
        <w:jc w:val="lef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注：</w:t>
      </w:r>
    </w:p>
    <w:p w14:paraId="08D6AEE2">
      <w:pPr>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1.本表中所填人员应至少包括项目负责人。</w:t>
      </w:r>
    </w:p>
    <w:p w14:paraId="6C4740E3">
      <w:pPr>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2.本表后附相关人员身份证、职称证书、学历证书、执业资格证书、社保缴费证明材料等证明材料的复印件或扫描件。 </w:t>
      </w:r>
    </w:p>
    <w:p w14:paraId="2EECE590">
      <w:pPr>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3.人员一旦确定，中标后原则上不再变更，如需变更需征得招标人同意。</w:t>
      </w:r>
    </w:p>
    <w:p w14:paraId="374BABF1">
      <w:pPr>
        <w:ind w:firstLine="482"/>
        <w:jc w:val="left"/>
        <w:rPr>
          <w:rFonts w:hint="eastAsia" w:ascii="宋体" w:hAnsi="宋体" w:eastAsia="宋体" w:cs="宋体"/>
          <w:b/>
          <w:bCs/>
          <w:color w:val="000000" w:themeColor="text1"/>
          <w:szCs w:val="21"/>
          <w:highlight w:val="none"/>
          <w:u w:val="single"/>
          <w14:textFill>
            <w14:solidFill>
              <w14:schemeClr w14:val="tx1"/>
            </w14:solidFill>
          </w14:textFill>
        </w:rPr>
      </w:pPr>
    </w:p>
    <w:p w14:paraId="2FB79B13">
      <w:pPr>
        <w:widowControl/>
        <w:ind w:firstLine="482"/>
        <w:jc w:val="center"/>
        <w:rPr>
          <w:rFonts w:hint="eastAsia" w:ascii="宋体" w:hAnsi="宋体" w:eastAsia="宋体" w:cs="宋体"/>
          <w:b/>
          <w:bCs/>
          <w:color w:val="000000" w:themeColor="text1"/>
          <w:sz w:val="24"/>
          <w:highlight w:val="none"/>
          <w:u w:val="single"/>
          <w14:textFill>
            <w14:solidFill>
              <w14:schemeClr w14:val="tx1"/>
            </w14:solidFill>
          </w14:textFill>
        </w:rPr>
      </w:pPr>
    </w:p>
    <w:p w14:paraId="3891D632">
      <w:pPr>
        <w:widowControl/>
        <w:ind w:firstLine="482"/>
        <w:jc w:val="center"/>
        <w:rPr>
          <w:rFonts w:hint="eastAsia" w:ascii="宋体" w:hAnsi="宋体" w:eastAsia="宋体" w:cs="宋体"/>
          <w:b/>
          <w:bCs/>
          <w:color w:val="000000" w:themeColor="text1"/>
          <w:sz w:val="24"/>
          <w:highlight w:val="none"/>
          <w:u w:val="single"/>
          <w14:textFill>
            <w14:solidFill>
              <w14:schemeClr w14:val="tx1"/>
            </w14:solidFill>
          </w14:textFill>
        </w:rPr>
      </w:pPr>
    </w:p>
    <w:p w14:paraId="667ED550">
      <w:pPr>
        <w:widowControl/>
        <w:ind w:firstLine="482"/>
        <w:jc w:val="center"/>
        <w:rPr>
          <w:rFonts w:hint="eastAsia" w:ascii="宋体" w:hAnsi="宋体" w:eastAsia="宋体" w:cs="宋体"/>
          <w:b/>
          <w:bCs/>
          <w:color w:val="000000" w:themeColor="text1"/>
          <w:sz w:val="24"/>
          <w:highlight w:val="none"/>
          <w:u w:val="single"/>
          <w14:textFill>
            <w14:solidFill>
              <w14:schemeClr w14:val="tx1"/>
            </w14:solidFill>
          </w14:textFill>
        </w:rPr>
      </w:pPr>
    </w:p>
    <w:p w14:paraId="645C6742">
      <w:pPr>
        <w:widowControl/>
        <w:ind w:firstLine="482"/>
        <w:jc w:val="center"/>
        <w:rPr>
          <w:rFonts w:hint="eastAsia" w:ascii="宋体" w:hAnsi="宋体" w:eastAsia="宋体" w:cs="宋体"/>
          <w:b/>
          <w:bCs/>
          <w:color w:val="000000" w:themeColor="text1"/>
          <w:sz w:val="24"/>
          <w:highlight w:val="none"/>
          <w:u w:val="single"/>
          <w14:textFill>
            <w14:solidFill>
              <w14:schemeClr w14:val="tx1"/>
            </w14:solidFill>
          </w14:textFill>
        </w:rPr>
      </w:pPr>
    </w:p>
    <w:p w14:paraId="7996A82F">
      <w:pPr>
        <w:ind w:firstLine="482"/>
        <w:jc w:val="center"/>
        <w:rPr>
          <w:rFonts w:hint="eastAsia" w:ascii="宋体" w:hAnsi="宋体" w:eastAsia="宋体" w:cs="宋体"/>
          <w:b/>
          <w:bCs/>
          <w:color w:val="000000" w:themeColor="text1"/>
          <w:sz w:val="24"/>
          <w:highlight w:val="none"/>
          <w14:textFill>
            <w14:solidFill>
              <w14:schemeClr w14:val="tx1"/>
            </w14:solidFill>
          </w14:textFill>
        </w:rPr>
      </w:pPr>
    </w:p>
    <w:p w14:paraId="759EC452">
      <w:pPr>
        <w:ind w:firstLine="482"/>
        <w:jc w:val="cente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表3 拟投入本标段主要人员经历表</w:t>
      </w:r>
    </w:p>
    <w:tbl>
      <w:tblPr>
        <w:tblStyle w:val="47"/>
        <w:tblW w:w="4997" w:type="pct"/>
        <w:jc w:val="center"/>
        <w:tblLayout w:type="autofit"/>
        <w:tblCellMar>
          <w:top w:w="0" w:type="dxa"/>
          <w:left w:w="0" w:type="dxa"/>
          <w:bottom w:w="0" w:type="dxa"/>
          <w:right w:w="0" w:type="dxa"/>
        </w:tblCellMar>
      </w:tblPr>
      <w:tblGrid>
        <w:gridCol w:w="296"/>
        <w:gridCol w:w="596"/>
        <w:gridCol w:w="394"/>
        <w:gridCol w:w="1135"/>
        <w:gridCol w:w="1135"/>
        <w:gridCol w:w="1275"/>
        <w:gridCol w:w="1559"/>
        <w:gridCol w:w="2866"/>
      </w:tblGrid>
      <w:tr w14:paraId="11173E52">
        <w:tblPrEx>
          <w:tblCellMar>
            <w:top w:w="0" w:type="dxa"/>
            <w:left w:w="0" w:type="dxa"/>
            <w:bottom w:w="0" w:type="dxa"/>
            <w:right w:w="0" w:type="dxa"/>
          </w:tblCellMar>
        </w:tblPrEx>
        <w:trPr>
          <w:trHeight w:val="520"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4012F3B">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序号</w:t>
            </w:r>
          </w:p>
        </w:tc>
        <w:tc>
          <w:tcPr>
            <w:tcW w:w="32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785F3D7">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担任职务</w:t>
            </w:r>
          </w:p>
        </w:tc>
        <w:tc>
          <w:tcPr>
            <w:tcW w:w="213"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16F48B66">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姓名</w:t>
            </w:r>
          </w:p>
        </w:tc>
        <w:tc>
          <w:tcPr>
            <w:tcW w:w="613"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BCBC437">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开工时间</w:t>
            </w:r>
          </w:p>
        </w:tc>
        <w:tc>
          <w:tcPr>
            <w:tcW w:w="613"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F6226BA">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竣工时间</w:t>
            </w:r>
          </w:p>
        </w:tc>
        <w:tc>
          <w:tcPr>
            <w:tcW w:w="68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6C740F50">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项目职务</w:t>
            </w:r>
          </w:p>
        </w:tc>
        <w:tc>
          <w:tcPr>
            <w:tcW w:w="84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70AD5CD">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项目名称</w:t>
            </w:r>
          </w:p>
        </w:tc>
        <w:tc>
          <w:tcPr>
            <w:tcW w:w="1548"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0837CC7">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项目简介</w:t>
            </w:r>
          </w:p>
        </w:tc>
      </w:tr>
      <w:tr w14:paraId="7CC04F24">
        <w:tblPrEx>
          <w:tblCellMar>
            <w:top w:w="0" w:type="dxa"/>
            <w:left w:w="0" w:type="dxa"/>
            <w:bottom w:w="0" w:type="dxa"/>
            <w:right w:w="0" w:type="dxa"/>
          </w:tblCellMar>
        </w:tblPrEx>
        <w:trPr>
          <w:trHeight w:val="250"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E6E12BE">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1</w:t>
            </w:r>
          </w:p>
        </w:tc>
        <w:tc>
          <w:tcPr>
            <w:tcW w:w="32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9C9AD28">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213"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CDC24E5">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613"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8F8152B">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613"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6A80DAFE">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68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730FDEC">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84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64470BC4">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1548"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461E508">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384C946F">
        <w:tblPrEx>
          <w:tblCellMar>
            <w:top w:w="0" w:type="dxa"/>
            <w:left w:w="0" w:type="dxa"/>
            <w:bottom w:w="0" w:type="dxa"/>
            <w:right w:w="0" w:type="dxa"/>
          </w:tblCellMar>
        </w:tblPrEx>
        <w:trPr>
          <w:trHeight w:val="250" w:hRule="atLeast"/>
          <w:jc w:val="center"/>
        </w:trPr>
        <w:tc>
          <w:tcPr>
            <w:tcW w:w="16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102F51F7">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2</w:t>
            </w:r>
          </w:p>
        </w:tc>
        <w:tc>
          <w:tcPr>
            <w:tcW w:w="32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8513207">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213"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C85B1B7">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613"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B23C903">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613"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47594E7">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689"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8CA9443">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84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62DF4B2">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1548"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6567A376">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bl>
    <w:p w14:paraId="6B9D0421">
      <w:pPr>
        <w:widowControl/>
        <w:jc w:val="left"/>
        <w:rPr>
          <w:rFonts w:hint="eastAsia" w:ascii="宋体" w:hAnsi="宋体" w:eastAsia="宋体" w:cs="宋体"/>
          <w:b/>
          <w:bCs/>
          <w:color w:val="000000" w:themeColor="text1"/>
          <w:highlight w:val="none"/>
          <w14:textFill>
            <w14:solidFill>
              <w14:schemeClr w14:val="tx1"/>
            </w14:solidFill>
          </w14:textFill>
        </w:rPr>
      </w:pPr>
    </w:p>
    <w:p w14:paraId="77FE2FC6">
      <w:pPr>
        <w:keepNext/>
        <w:keepLines/>
        <w:adjustRightInd w:val="0"/>
        <w:snapToGrid w:val="0"/>
        <w:spacing w:line="360" w:lineRule="auto"/>
        <w:rPr>
          <w:rFonts w:ascii="Garamond" w:hAnsi="Garamond"/>
          <w:b/>
          <w:bCs/>
          <w:color w:val="000000" w:themeColor="text1"/>
          <w:highlight w:val="none"/>
          <w14:textFill>
            <w14:solidFill>
              <w14:schemeClr w14:val="tx1"/>
            </w14:solidFill>
          </w14:textFill>
        </w:rPr>
      </w:pPr>
      <w:r>
        <w:rPr>
          <w:rFonts w:hint="eastAsia" w:ascii="宋体" w:hAnsi="宋体" w:eastAsia="宋体" w:cs="宋体"/>
          <w:b/>
          <w:bCs/>
          <w:szCs w:val="21"/>
          <w:highlight w:val="none"/>
        </w:rPr>
        <w:t>注：</w:t>
      </w:r>
      <w:r>
        <w:rPr>
          <w:rFonts w:hint="eastAsia" w:ascii="宋体" w:hAnsi="宋体" w:eastAsia="宋体" w:cs="宋体"/>
          <w:szCs w:val="21"/>
          <w:highlight w:val="none"/>
        </w:rPr>
        <w:t>本表后附拟投入本标段主要人员（至少包括项目负责人）业绩证明材料（至少包括合同，若不能全面反映审查要求的内容，应再另外提供其他证明材料）的复印件或扫描件。</w:t>
      </w:r>
    </w:p>
    <w:p w14:paraId="4CFDAC04">
      <w:pPr>
        <w:widowControl/>
        <w:jc w:val="left"/>
        <w:rPr>
          <w:rFonts w:ascii="Garamond" w:hAnsi="Garamond"/>
          <w:b/>
          <w:bCs/>
          <w:color w:val="000000" w:themeColor="text1"/>
          <w:highlight w:val="none"/>
          <w:u w:val="none"/>
          <w14:textFill>
            <w14:solidFill>
              <w14:schemeClr w14:val="tx1"/>
            </w14:solidFill>
          </w14:textFill>
        </w:rPr>
      </w:pPr>
      <w:r>
        <w:rPr>
          <w:rFonts w:ascii="Garamond" w:hAnsi="Garamond"/>
          <w:b/>
          <w:bCs/>
          <w:color w:val="000000" w:themeColor="text1"/>
          <w:highlight w:val="none"/>
          <w:u w:val="none"/>
          <w14:textFill>
            <w14:solidFill>
              <w14:schemeClr w14:val="tx1"/>
            </w14:solidFill>
          </w14:textFill>
        </w:rPr>
        <w:br w:type="page"/>
      </w:r>
    </w:p>
    <w:p w14:paraId="7196F946">
      <w:pPr>
        <w:pStyle w:val="11"/>
        <w:ind w:firstLine="0"/>
        <w:jc w:val="center"/>
        <w:rPr>
          <w:rFonts w:hint="eastAsia" w:ascii="宋体" w:hAnsi="宋体" w:eastAsia="宋体" w:cs="宋体"/>
          <w:b/>
          <w:bCs/>
          <w:color w:val="000000" w:themeColor="text1"/>
          <w:sz w:val="28"/>
          <w:szCs w:val="28"/>
          <w:highlight w:val="none"/>
          <w:u w:val="single"/>
          <w14:textFill>
            <w14:solidFill>
              <w14:schemeClr w14:val="tx1"/>
            </w14:solidFill>
          </w14:textFill>
        </w:rPr>
      </w:pPr>
      <w:r>
        <w:rPr>
          <w:rFonts w:hint="eastAsia" w:ascii="宋体" w:hAnsi="宋体" w:eastAsia="宋体" w:cs="宋体"/>
          <w:b/>
          <w:bCs/>
          <w:color w:val="000000" w:themeColor="text1"/>
          <w:sz w:val="28"/>
          <w:szCs w:val="28"/>
          <w:highlight w:val="none"/>
          <w:u w:val="single"/>
          <w14:textFill>
            <w14:solidFill>
              <w14:schemeClr w14:val="tx1"/>
            </w14:solidFill>
          </w14:textFill>
        </w:rPr>
        <w:t>表4 已建工程表</w:t>
      </w:r>
    </w:p>
    <w:tbl>
      <w:tblPr>
        <w:tblStyle w:val="47"/>
        <w:tblW w:w="5000" w:type="pct"/>
        <w:tblInd w:w="0" w:type="dxa"/>
        <w:tblLayout w:type="autofit"/>
        <w:tblCellMar>
          <w:top w:w="0" w:type="dxa"/>
          <w:left w:w="0" w:type="dxa"/>
          <w:bottom w:w="0" w:type="dxa"/>
          <w:right w:w="0" w:type="dxa"/>
        </w:tblCellMar>
      </w:tblPr>
      <w:tblGrid>
        <w:gridCol w:w="2315"/>
        <w:gridCol w:w="2315"/>
        <w:gridCol w:w="2316"/>
        <w:gridCol w:w="219"/>
        <w:gridCol w:w="2097"/>
      </w:tblGrid>
      <w:tr w14:paraId="25786519">
        <w:tblPrEx>
          <w:tblCellMar>
            <w:top w:w="0" w:type="dxa"/>
            <w:left w:w="0" w:type="dxa"/>
            <w:bottom w:w="0" w:type="dxa"/>
            <w:right w:w="0" w:type="dxa"/>
          </w:tblCellMar>
        </w:tblPrEx>
        <w:trPr>
          <w:trHeight w:val="42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CADFDCB">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(项目名称)</w:t>
            </w:r>
          </w:p>
        </w:tc>
      </w:tr>
      <w:tr w14:paraId="3B6EBF88">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315703A">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工程地点:</w:t>
            </w:r>
          </w:p>
        </w:tc>
        <w:tc>
          <w:tcPr>
            <w:tcW w:w="3750" w:type="pct"/>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1C0276B4">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375F8AC4">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C33E9F3">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合同标段:</w:t>
            </w:r>
          </w:p>
        </w:tc>
        <w:tc>
          <w:tcPr>
            <w:tcW w:w="3750" w:type="pct"/>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227474F">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35FBB5D3">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666D58B">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合同价(元):</w:t>
            </w:r>
          </w:p>
        </w:tc>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1A0419FA">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6AAB01CB">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竣工质量评定：</w:t>
            </w:r>
          </w:p>
        </w:tc>
        <w:tc>
          <w:tcPr>
            <w:tcW w:w="1250" w:type="pct"/>
            <w:gridSpan w:val="2"/>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E38625F">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7E5B9810">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3257253">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项目负责人:</w:t>
            </w:r>
          </w:p>
        </w:tc>
        <w:tc>
          <w:tcPr>
            <w:tcW w:w="3750" w:type="pct"/>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67B8909">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4B699150">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5743173">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开始时间：</w:t>
            </w:r>
          </w:p>
        </w:tc>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3DADCB0">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CA0CE67">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结束时间：</w:t>
            </w:r>
          </w:p>
        </w:tc>
        <w:tc>
          <w:tcPr>
            <w:tcW w:w="1250" w:type="pct"/>
            <w:gridSpan w:val="2"/>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76600EA">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50C52470">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C9AA943">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二任项目负责人:</w:t>
            </w:r>
          </w:p>
        </w:tc>
        <w:tc>
          <w:tcPr>
            <w:tcW w:w="3750" w:type="pct"/>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098F4ED">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2B162D91">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D4F5FC4">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开始时间：</w:t>
            </w:r>
          </w:p>
        </w:tc>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40A1C4A">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C698588">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结束时间：</w:t>
            </w:r>
          </w:p>
        </w:tc>
        <w:tc>
          <w:tcPr>
            <w:tcW w:w="1250" w:type="pct"/>
            <w:gridSpan w:val="2"/>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BE9B45D">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4212037A">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542B80E">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三任项目负责人:</w:t>
            </w:r>
          </w:p>
        </w:tc>
        <w:tc>
          <w:tcPr>
            <w:tcW w:w="3750" w:type="pct"/>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CCDEAEF">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33FAA1D0">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C95E38D">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开始时间：</w:t>
            </w:r>
          </w:p>
        </w:tc>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64D4F346">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1A90078">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结束时间：</w:t>
            </w:r>
          </w:p>
        </w:tc>
        <w:tc>
          <w:tcPr>
            <w:tcW w:w="1250" w:type="pct"/>
            <w:gridSpan w:val="2"/>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0133974">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673EAD06">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1D140FCB">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四任项目负责人:</w:t>
            </w:r>
          </w:p>
        </w:tc>
        <w:tc>
          <w:tcPr>
            <w:tcW w:w="3750" w:type="pct"/>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87743B8">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1FB7F598">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3C090D4">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开始时间：</w:t>
            </w:r>
          </w:p>
        </w:tc>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6F433AC">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14D24B90">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结束时间：</w:t>
            </w:r>
          </w:p>
        </w:tc>
        <w:tc>
          <w:tcPr>
            <w:tcW w:w="1250" w:type="pct"/>
            <w:gridSpan w:val="2"/>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DC981B0">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6895BED0">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AB4BAFC">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技术负责人：</w:t>
            </w:r>
          </w:p>
        </w:tc>
        <w:tc>
          <w:tcPr>
            <w:tcW w:w="3750" w:type="pct"/>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66C9734">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3D14DB48">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4885FA2">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承建主体队伍:</w:t>
            </w:r>
          </w:p>
        </w:tc>
        <w:tc>
          <w:tcPr>
            <w:tcW w:w="3750" w:type="pct"/>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EA339FD">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3EA260A4">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FB969B2">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合同工期(天):</w:t>
            </w:r>
          </w:p>
        </w:tc>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1FFBAF9">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1368" w:type="pct"/>
            <w:gridSpan w:val="2"/>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611B522">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合同开工日期(年、月)：</w:t>
            </w:r>
          </w:p>
        </w:tc>
        <w:tc>
          <w:tcPr>
            <w:tcW w:w="113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4AA0705">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2D527195">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3D652AB">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合同交/竣工日期(年、月):</w:t>
            </w:r>
          </w:p>
        </w:tc>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54D303ED">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1368" w:type="pct"/>
            <w:gridSpan w:val="2"/>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0B780F6">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是否为分包：</w:t>
            </w:r>
          </w:p>
        </w:tc>
        <w:tc>
          <w:tcPr>
            <w:tcW w:w="1132"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C917EC0">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5FE881E0">
        <w:tblPrEx>
          <w:tblCellMar>
            <w:top w:w="0" w:type="dxa"/>
            <w:left w:w="0" w:type="dxa"/>
            <w:bottom w:w="0" w:type="dxa"/>
            <w:right w:w="0" w:type="dxa"/>
          </w:tblCellMar>
        </w:tblPrEx>
        <w:trPr>
          <w:trHeight w:val="52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443E71E">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获奖情况(仅限部、省级以上):</w:t>
            </w:r>
          </w:p>
        </w:tc>
        <w:tc>
          <w:tcPr>
            <w:tcW w:w="3750" w:type="pct"/>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ADC1267">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7D9067CE">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3F604B5">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发包人名称:</w:t>
            </w:r>
          </w:p>
        </w:tc>
        <w:tc>
          <w:tcPr>
            <w:tcW w:w="3750" w:type="pct"/>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63717AAA">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407953F8">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F2E5B24">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发包人联系人:</w:t>
            </w:r>
          </w:p>
        </w:tc>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E820302">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14B44DA4">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联系电话:</w:t>
            </w:r>
          </w:p>
        </w:tc>
        <w:tc>
          <w:tcPr>
            <w:tcW w:w="1250" w:type="pct"/>
            <w:gridSpan w:val="2"/>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0285E5A">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r w14:paraId="0CC9DA18">
        <w:tblPrEx>
          <w:tblCellMar>
            <w:top w:w="0" w:type="dxa"/>
            <w:left w:w="0" w:type="dxa"/>
            <w:bottom w:w="0" w:type="dxa"/>
            <w:right w:w="0" w:type="dxa"/>
          </w:tblCellMar>
        </w:tblPrEx>
        <w:trPr>
          <w:trHeight w:val="260" w:hRule="atLeast"/>
        </w:trPr>
        <w:tc>
          <w:tcPr>
            <w:tcW w:w="1250" w:type="pc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46543C9A">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工程简介:</w:t>
            </w:r>
          </w:p>
        </w:tc>
        <w:tc>
          <w:tcPr>
            <w:tcW w:w="3750" w:type="pct"/>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6B572B5">
            <w:pPr>
              <w:widowControl/>
              <w:jc w:val="center"/>
              <w:textAlignment w:val="bottom"/>
              <w:rPr>
                <w:rFonts w:hint="eastAsia" w:ascii="宋体" w:hAnsi="宋体" w:eastAsia="宋体" w:cs="宋体"/>
                <w:color w:val="000000" w:themeColor="text1"/>
                <w:kern w:val="0"/>
                <w:sz w:val="24"/>
                <w:szCs w:val="24"/>
                <w:highlight w:val="none"/>
                <w14:textFill>
                  <w14:solidFill>
                    <w14:schemeClr w14:val="tx1"/>
                  </w14:solidFill>
                </w14:textFill>
              </w:rPr>
            </w:pPr>
          </w:p>
        </w:tc>
      </w:tr>
    </w:tbl>
    <w:p w14:paraId="2CD965F9">
      <w:pPr>
        <w:keepNext/>
        <w:keepLines/>
        <w:adjustRightInd w:val="0"/>
        <w:snapToGrid w:val="0"/>
        <w:spacing w:line="360" w:lineRule="auto"/>
        <w:rPr>
          <w:rFonts w:ascii="宋体" w:hAnsi="宋体" w:cs="宋体"/>
          <w:b/>
          <w:bCs/>
          <w:szCs w:val="21"/>
          <w:highlight w:val="none"/>
        </w:rPr>
      </w:pPr>
    </w:p>
    <w:p w14:paraId="57E2D04A">
      <w:pPr>
        <w:keepNext/>
        <w:keepLines/>
        <w:adjustRightInd w:val="0"/>
        <w:snapToGrid w:val="0"/>
        <w:spacing w:line="360" w:lineRule="auto"/>
        <w:rPr>
          <w:rFonts w:ascii="宋体" w:hAnsi="宋体" w:cs="宋体"/>
          <w:szCs w:val="21"/>
          <w:highlight w:val="none"/>
        </w:rPr>
      </w:pPr>
      <w:r>
        <w:rPr>
          <w:rFonts w:hint="eastAsia" w:ascii="宋体" w:hAnsi="宋体" w:cs="宋体"/>
          <w:b/>
          <w:bCs/>
          <w:szCs w:val="21"/>
          <w:highlight w:val="none"/>
        </w:rPr>
        <w:t>注：</w:t>
      </w:r>
      <w:r>
        <w:rPr>
          <w:rFonts w:hint="eastAsia" w:ascii="宋体" w:hAnsi="宋体" w:cs="宋体"/>
          <w:szCs w:val="21"/>
          <w:highlight w:val="none"/>
        </w:rPr>
        <w:t>本表后附投标人业绩证明材料（至少包括合同，若不能全面反映审查要求的内容，应再另外提供其他证明材料）的复印件或扫描件。</w:t>
      </w:r>
    </w:p>
    <w:p w14:paraId="2372005F">
      <w:pPr>
        <w:ind w:firstLine="738" w:firstLineChars="350"/>
        <w:jc w:val="center"/>
        <w:rPr>
          <w:rFonts w:ascii="Garamond" w:hAnsi="Garamond"/>
          <w:b/>
          <w:bCs/>
          <w:color w:val="000000" w:themeColor="text1"/>
          <w:highlight w:val="none"/>
          <w14:textFill>
            <w14:solidFill>
              <w14:schemeClr w14:val="tx1"/>
            </w14:solidFill>
          </w14:textFill>
        </w:rPr>
      </w:pPr>
      <w:r>
        <w:rPr>
          <w:rFonts w:ascii="Garamond" w:hAnsi="Garamond"/>
          <w:b/>
          <w:bCs/>
          <w:color w:val="000000" w:themeColor="text1"/>
          <w:highlight w:val="none"/>
          <w14:textFill>
            <w14:solidFill>
              <w14:schemeClr w14:val="tx1"/>
            </w14:solidFill>
          </w14:textFill>
        </w:rPr>
        <w:br w:type="page"/>
      </w:r>
    </w:p>
    <w:p w14:paraId="34711400">
      <w:pPr>
        <w:widowControl/>
        <w:jc w:val="left"/>
        <w:rPr>
          <w:rFonts w:ascii="Garamond" w:hAnsi="Garamond"/>
          <w:b/>
          <w:bCs/>
          <w:color w:val="000000" w:themeColor="text1"/>
          <w:sz w:val="24"/>
          <w:highlight w:val="none"/>
          <w:u w:val="single"/>
          <w14:textFill>
            <w14:solidFill>
              <w14:schemeClr w14:val="tx1"/>
            </w14:solidFill>
          </w14:textFill>
        </w:rPr>
      </w:pPr>
    </w:p>
    <w:p w14:paraId="1F5F1D74">
      <w:pPr>
        <w:widowControl/>
        <w:ind w:firstLine="482"/>
        <w:jc w:val="center"/>
        <w:rPr>
          <w:rFonts w:hint="eastAsia" w:ascii="宋体" w:hAnsi="宋体" w:eastAsia="宋体" w:cs="宋体"/>
          <w:b/>
          <w:bCs/>
          <w:color w:val="000000" w:themeColor="text1"/>
          <w:sz w:val="28"/>
          <w:szCs w:val="28"/>
          <w:highlight w:val="none"/>
          <w:u w:val="single"/>
          <w14:textFill>
            <w14:solidFill>
              <w14:schemeClr w14:val="tx1"/>
            </w14:solidFill>
          </w14:textFill>
        </w:rPr>
      </w:pPr>
      <w:r>
        <w:rPr>
          <w:rFonts w:hint="eastAsia" w:ascii="宋体" w:hAnsi="宋体" w:eastAsia="宋体" w:cs="宋体"/>
          <w:b/>
          <w:bCs/>
          <w:color w:val="000000" w:themeColor="text1"/>
          <w:sz w:val="28"/>
          <w:szCs w:val="28"/>
          <w:highlight w:val="none"/>
          <w:u w:val="single"/>
          <w14:textFill>
            <w14:solidFill>
              <w14:schemeClr w14:val="tx1"/>
            </w14:solidFill>
          </w14:textFill>
        </w:rPr>
        <w:t>表5 申请人(投标人)与其他单位存在控股、管理关系</w:t>
      </w:r>
    </w:p>
    <w:p w14:paraId="0EFB5EE1">
      <w:pPr>
        <w:widowControl/>
        <w:ind w:firstLine="482"/>
        <w:jc w:val="center"/>
        <w:rPr>
          <w:rFonts w:ascii="Garamond" w:hAnsi="Garamond"/>
          <w:b/>
          <w:bCs/>
          <w:color w:val="000000" w:themeColor="text1"/>
          <w:sz w:val="24"/>
          <w:highlight w:val="none"/>
          <w:u w:val="single"/>
          <w14:textFill>
            <w14:solidFill>
              <w14:schemeClr w14:val="tx1"/>
            </w14:solidFill>
          </w14:textFill>
        </w:rPr>
      </w:pPr>
    </w:p>
    <w:tbl>
      <w:tblPr>
        <w:tblStyle w:val="47"/>
        <w:tblW w:w="8799" w:type="dxa"/>
        <w:tblInd w:w="0" w:type="dxa"/>
        <w:tblLayout w:type="autofit"/>
        <w:tblCellMar>
          <w:top w:w="0" w:type="dxa"/>
          <w:left w:w="0" w:type="dxa"/>
          <w:bottom w:w="0" w:type="dxa"/>
          <w:right w:w="0" w:type="dxa"/>
        </w:tblCellMar>
      </w:tblPr>
      <w:tblGrid>
        <w:gridCol w:w="660"/>
        <w:gridCol w:w="5390"/>
        <w:gridCol w:w="2749"/>
      </w:tblGrid>
      <w:tr w14:paraId="36618829">
        <w:tblPrEx>
          <w:tblCellMar>
            <w:top w:w="0" w:type="dxa"/>
            <w:left w:w="0" w:type="dxa"/>
            <w:bottom w:w="0" w:type="dxa"/>
            <w:right w:w="0" w:type="dxa"/>
          </w:tblCellMar>
        </w:tblPrEx>
        <w:trPr>
          <w:trHeight w:val="260"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290575F7">
            <w:pPr>
              <w:widowControl/>
              <w:jc w:val="center"/>
              <w:textAlignment w:val="bottom"/>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序号</w:t>
            </w:r>
          </w:p>
        </w:tc>
        <w:tc>
          <w:tcPr>
            <w:tcW w:w="5390"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A664DE9">
            <w:pPr>
              <w:widowControl/>
              <w:jc w:val="center"/>
              <w:textAlignment w:val="bottom"/>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控股、管理申请人/投标人的单位名称</w:t>
            </w:r>
          </w:p>
        </w:tc>
        <w:tc>
          <w:tcPr>
            <w:tcW w:w="2749"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044EF674">
            <w:pPr>
              <w:widowControl/>
              <w:jc w:val="center"/>
              <w:textAlignment w:val="bottom"/>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控股、管理关系情况说明</w:t>
            </w:r>
          </w:p>
        </w:tc>
      </w:tr>
      <w:tr w14:paraId="12EF20CF">
        <w:tblPrEx>
          <w:tblCellMar>
            <w:top w:w="0" w:type="dxa"/>
            <w:left w:w="0" w:type="dxa"/>
            <w:bottom w:w="0" w:type="dxa"/>
            <w:right w:w="0" w:type="dxa"/>
          </w:tblCellMar>
        </w:tblPrEx>
        <w:trPr>
          <w:trHeight w:val="260" w:hRule="atLeast"/>
        </w:trPr>
        <w:tc>
          <w:tcPr>
            <w:tcW w:w="660"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1DCCA931">
            <w:pPr>
              <w:widowControl/>
              <w:jc w:val="center"/>
              <w:textAlignment w:val="bottom"/>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1</w:t>
            </w:r>
          </w:p>
        </w:tc>
        <w:tc>
          <w:tcPr>
            <w:tcW w:w="5390"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70A9B2BB">
            <w:pPr>
              <w:widowControl/>
              <w:ind w:firstLine="400"/>
              <w:jc w:val="center"/>
              <w:textAlignment w:val="bottom"/>
              <w:rPr>
                <w:rFonts w:hint="eastAsia" w:ascii="宋体" w:hAnsi="宋体" w:eastAsia="宋体" w:cs="宋体"/>
                <w:color w:val="000000" w:themeColor="text1"/>
                <w:sz w:val="24"/>
                <w:szCs w:val="24"/>
                <w:highlight w:val="none"/>
                <w14:textFill>
                  <w14:solidFill>
                    <w14:schemeClr w14:val="tx1"/>
                  </w14:solidFill>
                </w14:textFill>
              </w:rPr>
            </w:pPr>
          </w:p>
        </w:tc>
        <w:tc>
          <w:tcPr>
            <w:tcW w:w="2749"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3A0A83A2">
            <w:pPr>
              <w:widowControl/>
              <w:ind w:firstLine="400"/>
              <w:jc w:val="center"/>
              <w:textAlignment w:val="bottom"/>
              <w:rPr>
                <w:rFonts w:hint="eastAsia" w:ascii="宋体" w:hAnsi="宋体" w:eastAsia="宋体" w:cs="宋体"/>
                <w:color w:val="000000" w:themeColor="text1"/>
                <w:sz w:val="24"/>
                <w:szCs w:val="24"/>
                <w:highlight w:val="none"/>
                <w14:textFill>
                  <w14:solidFill>
                    <w14:schemeClr w14:val="tx1"/>
                  </w14:solidFill>
                </w14:textFill>
              </w:rPr>
            </w:pPr>
          </w:p>
        </w:tc>
      </w:tr>
    </w:tbl>
    <w:p w14:paraId="1C4CAA92">
      <w:pPr>
        <w:ind w:firstLine="482"/>
        <w:jc w:val="center"/>
        <w:rPr>
          <w:rFonts w:ascii="Garamond" w:hAnsi="Garamond"/>
          <w:b/>
          <w:bCs/>
          <w:color w:val="000000" w:themeColor="text1"/>
          <w:sz w:val="24"/>
          <w:highlight w:val="none"/>
          <w:u w:val="single"/>
          <w14:textFill>
            <w14:solidFill>
              <w14:schemeClr w14:val="tx1"/>
            </w14:solidFill>
          </w14:textFill>
        </w:rPr>
      </w:pPr>
    </w:p>
    <w:p w14:paraId="16A7E008">
      <w:pPr>
        <w:ind w:firstLine="482"/>
        <w:jc w:val="center"/>
        <w:rPr>
          <w:rFonts w:ascii="Garamond" w:hAnsi="Garamond"/>
          <w:b/>
          <w:bCs/>
          <w:color w:val="000000" w:themeColor="text1"/>
          <w:sz w:val="24"/>
          <w:highlight w:val="none"/>
          <w:u w:val="single"/>
          <w14:textFill>
            <w14:solidFill>
              <w14:schemeClr w14:val="tx1"/>
            </w14:solidFill>
          </w14:textFill>
        </w:rPr>
      </w:pPr>
    </w:p>
    <w:p w14:paraId="350D66C3">
      <w:pPr>
        <w:ind w:firstLine="482"/>
        <w:jc w:val="center"/>
        <w:rPr>
          <w:rFonts w:ascii="Garamond" w:hAnsi="Garamond"/>
          <w:b/>
          <w:bCs/>
          <w:color w:val="000000" w:themeColor="text1"/>
          <w:sz w:val="24"/>
          <w:highlight w:val="none"/>
          <w:u w:val="single"/>
          <w14:textFill>
            <w14:solidFill>
              <w14:schemeClr w14:val="tx1"/>
            </w14:solidFill>
          </w14:textFill>
        </w:rPr>
      </w:pPr>
    </w:p>
    <w:p w14:paraId="77BE1C6F">
      <w:pPr>
        <w:widowControl/>
        <w:jc w:val="left"/>
        <w:rPr>
          <w:rFonts w:ascii="Garamond" w:hAnsi="Garamond"/>
          <w:b/>
          <w:bCs/>
          <w:color w:val="000000" w:themeColor="text1"/>
          <w:sz w:val="24"/>
          <w:highlight w:val="none"/>
          <w14:textFill>
            <w14:solidFill>
              <w14:schemeClr w14:val="tx1"/>
            </w14:solidFill>
          </w14:textFill>
        </w:rPr>
      </w:pPr>
      <w:r>
        <w:rPr>
          <w:rFonts w:ascii="Garamond" w:hAnsi="Garamond"/>
          <w:b/>
          <w:bCs/>
          <w:color w:val="000000" w:themeColor="text1"/>
          <w:sz w:val="24"/>
          <w:highlight w:val="none"/>
          <w14:textFill>
            <w14:solidFill>
              <w14:schemeClr w14:val="tx1"/>
            </w14:solidFill>
          </w14:textFill>
        </w:rPr>
        <w:br w:type="page"/>
      </w:r>
    </w:p>
    <w:p w14:paraId="4CFA683F">
      <w:pPr>
        <w:jc w:val="center"/>
        <w:rPr>
          <w:rFonts w:hint="eastAsia" w:ascii="宋体" w:hAnsi="宋体" w:eastAsia="宋体" w:cs="宋体"/>
          <w:b/>
          <w:bCs/>
          <w:color w:val="000000" w:themeColor="text1"/>
          <w:sz w:val="28"/>
          <w:szCs w:val="28"/>
          <w:highlight w:val="none"/>
          <w:u w:val="single"/>
          <w14:textFill>
            <w14:solidFill>
              <w14:schemeClr w14:val="tx1"/>
            </w14:solidFill>
          </w14:textFill>
        </w:rPr>
      </w:pPr>
      <w:r>
        <w:rPr>
          <w:rFonts w:hint="eastAsia" w:ascii="宋体" w:hAnsi="宋体" w:eastAsia="宋体" w:cs="宋体"/>
          <w:b/>
          <w:bCs/>
          <w:color w:val="000000" w:themeColor="text1"/>
          <w:sz w:val="28"/>
          <w:szCs w:val="28"/>
          <w:highlight w:val="none"/>
          <w:u w:val="single"/>
          <w14:textFill>
            <w14:solidFill>
              <w14:schemeClr w14:val="tx1"/>
            </w14:solidFill>
          </w14:textFill>
        </w:rPr>
        <w:t>表6近年发生的诉讼及仲裁表</w:t>
      </w:r>
    </w:p>
    <w:p w14:paraId="6BAF22C5">
      <w:pPr>
        <w:ind w:firstLine="482"/>
        <w:jc w:val="center"/>
        <w:rPr>
          <w:rFonts w:ascii="Garamond" w:hAnsi="Garamond"/>
          <w:b/>
          <w:bCs/>
          <w:color w:val="000000" w:themeColor="text1"/>
          <w:sz w:val="24"/>
          <w:highlight w:val="none"/>
          <w:u w:val="single"/>
          <w14:textFill>
            <w14:solidFill>
              <w14:schemeClr w14:val="tx1"/>
            </w14:solidFill>
          </w14:textFill>
        </w:rPr>
      </w:pPr>
    </w:p>
    <w:tbl>
      <w:tblPr>
        <w:tblStyle w:val="47"/>
        <w:tblW w:w="8799" w:type="dxa"/>
        <w:tblInd w:w="0" w:type="dxa"/>
        <w:tblLayout w:type="autofit"/>
        <w:tblCellMar>
          <w:top w:w="0" w:type="dxa"/>
          <w:left w:w="0" w:type="dxa"/>
          <w:bottom w:w="0" w:type="dxa"/>
          <w:right w:w="0" w:type="dxa"/>
        </w:tblCellMar>
      </w:tblPr>
      <w:tblGrid>
        <w:gridCol w:w="776"/>
        <w:gridCol w:w="1864"/>
        <w:gridCol w:w="6159"/>
      </w:tblGrid>
      <w:tr w14:paraId="77D2EDC6">
        <w:tblPrEx>
          <w:tblCellMar>
            <w:top w:w="0" w:type="dxa"/>
            <w:left w:w="0" w:type="dxa"/>
            <w:bottom w:w="0" w:type="dxa"/>
            <w:right w:w="0" w:type="dxa"/>
          </w:tblCellMar>
        </w:tblPrEx>
        <w:trPr>
          <w:trHeight w:val="260" w:hRule="atLeast"/>
        </w:trPr>
        <w:tc>
          <w:tcPr>
            <w:tcW w:w="776"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bottom"/>
          </w:tcPr>
          <w:p w14:paraId="72B32178">
            <w:pPr>
              <w:widowControl/>
              <w:jc w:val="center"/>
              <w:textAlignment w:val="bottom"/>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序号</w:t>
            </w:r>
          </w:p>
        </w:tc>
        <w:tc>
          <w:tcPr>
            <w:tcW w:w="1864"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bottom"/>
          </w:tcPr>
          <w:p w14:paraId="15CCF044">
            <w:pPr>
              <w:widowControl/>
              <w:jc w:val="center"/>
              <w:textAlignment w:val="bottom"/>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项目</w:t>
            </w:r>
          </w:p>
        </w:tc>
        <w:tc>
          <w:tcPr>
            <w:tcW w:w="6159"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bottom"/>
          </w:tcPr>
          <w:p w14:paraId="35C9601D">
            <w:pPr>
              <w:widowControl/>
              <w:jc w:val="center"/>
              <w:textAlignment w:val="bottom"/>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申请人/投标人情况说明</w:t>
            </w:r>
          </w:p>
        </w:tc>
      </w:tr>
      <w:tr w14:paraId="6F454A42">
        <w:tblPrEx>
          <w:tblCellMar>
            <w:top w:w="0" w:type="dxa"/>
            <w:left w:w="0" w:type="dxa"/>
            <w:bottom w:w="0" w:type="dxa"/>
            <w:right w:w="0" w:type="dxa"/>
          </w:tblCellMar>
        </w:tblPrEx>
        <w:trPr>
          <w:trHeight w:val="260" w:hRule="atLeast"/>
        </w:trPr>
        <w:tc>
          <w:tcPr>
            <w:tcW w:w="776"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bottom"/>
          </w:tcPr>
          <w:p w14:paraId="73999FE3">
            <w:pPr>
              <w:widowControl/>
              <w:ind w:firstLine="400"/>
              <w:jc w:val="left"/>
              <w:textAlignment w:val="bottom"/>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1</w:t>
            </w:r>
          </w:p>
        </w:tc>
        <w:tc>
          <w:tcPr>
            <w:tcW w:w="1864"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bottom"/>
          </w:tcPr>
          <w:p w14:paraId="52EC6DA8">
            <w:pPr>
              <w:widowControl/>
              <w:ind w:firstLine="400"/>
              <w:jc w:val="left"/>
              <w:textAlignment w:val="bottom"/>
              <w:rPr>
                <w:rFonts w:hint="eastAsia" w:ascii="宋体" w:hAnsi="宋体" w:eastAsia="宋体" w:cs="宋体"/>
                <w:color w:val="000000" w:themeColor="text1"/>
                <w:sz w:val="24"/>
                <w:szCs w:val="24"/>
                <w:highlight w:val="none"/>
                <w14:textFill>
                  <w14:solidFill>
                    <w14:schemeClr w14:val="tx1"/>
                  </w14:solidFill>
                </w14:textFill>
              </w:rPr>
            </w:pPr>
          </w:p>
        </w:tc>
        <w:tc>
          <w:tcPr>
            <w:tcW w:w="6159"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bottom"/>
          </w:tcPr>
          <w:p w14:paraId="1ABDCE94">
            <w:pPr>
              <w:widowControl/>
              <w:ind w:firstLine="400"/>
              <w:jc w:val="left"/>
              <w:textAlignment w:val="bottom"/>
              <w:rPr>
                <w:rFonts w:hint="eastAsia" w:ascii="宋体" w:hAnsi="宋体" w:eastAsia="宋体" w:cs="宋体"/>
                <w:color w:val="000000" w:themeColor="text1"/>
                <w:sz w:val="24"/>
                <w:szCs w:val="24"/>
                <w:highlight w:val="none"/>
                <w14:textFill>
                  <w14:solidFill>
                    <w14:schemeClr w14:val="tx1"/>
                  </w14:solidFill>
                </w14:textFill>
              </w:rPr>
            </w:pPr>
          </w:p>
        </w:tc>
      </w:tr>
    </w:tbl>
    <w:p w14:paraId="746B0C8F">
      <w:pPr>
        <w:pStyle w:val="5"/>
        <w:spacing w:line="240" w:lineRule="auto"/>
        <w:jc w:val="left"/>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注：</w:t>
      </w:r>
    </w:p>
    <w:p w14:paraId="684CABD7">
      <w:pPr>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本表后附投标人须知规定年份以来发生的可能对承担本项目产生重大影响的判决、裁决等有关法律文书扫描件（如有）。</w:t>
      </w:r>
    </w:p>
    <w:p w14:paraId="44407C8E">
      <w:pPr>
        <w:ind w:firstLine="482"/>
        <w:jc w:val="center"/>
        <w:rPr>
          <w:rFonts w:ascii="Garamond" w:hAnsi="Garamond"/>
          <w:b/>
          <w:bCs/>
          <w:color w:val="000000" w:themeColor="text1"/>
          <w:sz w:val="24"/>
          <w:highlight w:val="none"/>
          <w:u w:val="single"/>
          <w14:textFill>
            <w14:solidFill>
              <w14:schemeClr w14:val="tx1"/>
            </w14:solidFill>
          </w14:textFill>
        </w:rPr>
      </w:pPr>
    </w:p>
    <w:p w14:paraId="7B9DB713">
      <w:pPr>
        <w:ind w:firstLine="482"/>
        <w:jc w:val="center"/>
        <w:rPr>
          <w:rFonts w:ascii="Garamond" w:hAnsi="Garamond"/>
          <w:b/>
          <w:bCs/>
          <w:color w:val="000000" w:themeColor="text1"/>
          <w:sz w:val="24"/>
          <w:highlight w:val="none"/>
          <w:u w:val="single"/>
          <w14:textFill>
            <w14:solidFill>
              <w14:schemeClr w14:val="tx1"/>
            </w14:solidFill>
          </w14:textFill>
        </w:rPr>
      </w:pPr>
    </w:p>
    <w:p w14:paraId="4BA171FA">
      <w:pPr>
        <w:widowControl/>
        <w:jc w:val="left"/>
        <w:rPr>
          <w:rFonts w:ascii="Garamond" w:hAnsi="Garamond"/>
          <w:b/>
          <w:bCs/>
          <w:color w:val="000000" w:themeColor="text1"/>
          <w:sz w:val="24"/>
          <w:highlight w:val="none"/>
          <w14:textFill>
            <w14:solidFill>
              <w14:schemeClr w14:val="tx1"/>
            </w14:solidFill>
          </w14:textFill>
        </w:rPr>
      </w:pPr>
      <w:r>
        <w:rPr>
          <w:rFonts w:ascii="Garamond" w:hAnsi="Garamond"/>
          <w:b/>
          <w:bCs/>
          <w:color w:val="000000" w:themeColor="text1"/>
          <w:sz w:val="24"/>
          <w:highlight w:val="none"/>
          <w14:textFill>
            <w14:solidFill>
              <w14:schemeClr w14:val="tx1"/>
            </w14:solidFill>
          </w14:textFill>
        </w:rPr>
        <w:br w:type="page"/>
      </w:r>
    </w:p>
    <w:p w14:paraId="22E46876">
      <w:pPr>
        <w:pStyle w:val="3"/>
        <w:jc w:val="center"/>
        <w:rPr>
          <w:rFonts w:ascii="Garamond" w:hAnsi="Garamond"/>
          <w:color w:val="000000" w:themeColor="text1"/>
          <w:sz w:val="28"/>
          <w:szCs w:val="28"/>
          <w:highlight w:val="none"/>
          <w14:textFill>
            <w14:solidFill>
              <w14:schemeClr w14:val="tx1"/>
            </w14:solidFill>
          </w14:textFill>
        </w:rPr>
      </w:pPr>
      <w:r>
        <w:rPr>
          <w:rFonts w:hint="eastAsia" w:ascii="Garamond" w:hAnsi="Garamond"/>
          <w:color w:val="000000" w:themeColor="text1"/>
          <w:sz w:val="28"/>
          <w:szCs w:val="28"/>
          <w:highlight w:val="none"/>
          <w:lang w:val="en-US" w:eastAsia="zh-CN"/>
          <w14:textFill>
            <w14:solidFill>
              <w14:schemeClr w14:val="tx1"/>
            </w14:solidFill>
          </w14:textFill>
        </w:rPr>
        <w:t>六</w:t>
      </w:r>
      <w:r>
        <w:rPr>
          <w:rFonts w:ascii="Garamond" w:hAnsi="Garamond"/>
          <w:color w:val="000000" w:themeColor="text1"/>
          <w:sz w:val="28"/>
          <w:szCs w:val="28"/>
          <w:highlight w:val="none"/>
          <w14:textFill>
            <w14:solidFill>
              <w14:schemeClr w14:val="tx1"/>
            </w14:solidFill>
          </w14:textFill>
        </w:rPr>
        <w:t>、</w:t>
      </w:r>
      <w:r>
        <w:rPr>
          <w:rFonts w:hint="eastAsia" w:ascii="Garamond" w:hAnsi="Garamond"/>
          <w:color w:val="000000" w:themeColor="text1"/>
          <w:sz w:val="28"/>
          <w:szCs w:val="28"/>
          <w:highlight w:val="none"/>
          <w14:textFill>
            <w14:solidFill>
              <w14:schemeClr w14:val="tx1"/>
            </w14:solidFill>
          </w14:textFill>
        </w:rPr>
        <w:t>其他资料</w:t>
      </w:r>
    </w:p>
    <w:p w14:paraId="41FEC2BC">
      <w:pPr>
        <w:pStyle w:val="3"/>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1、资料真实性承诺书</w:t>
      </w:r>
    </w:p>
    <w:p w14:paraId="39AFDED5">
      <w:pPr>
        <w:pStyle w:val="16"/>
        <w:keepNext w:val="0"/>
        <w:keepLines w:val="0"/>
        <w:pageBreakBefore w:val="0"/>
        <w:widowControl w:val="0"/>
        <w:kinsoku/>
        <w:wordWrap/>
        <w:overflowPunct/>
        <w:autoSpaceDE/>
        <w:autoSpaceDN/>
        <w:bidi w:val="0"/>
        <w:adjustRightInd w:val="0"/>
        <w:snapToGrid w:val="0"/>
        <w:spacing w:after="0" w:line="360" w:lineRule="auto"/>
        <w:ind w:right="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致：</w:t>
      </w:r>
      <w:r>
        <w:rPr>
          <w:rFonts w:hint="eastAsia" w:ascii="宋体" w:hAnsi="宋体" w:eastAsia="宋体" w:cs="宋体"/>
          <w:color w:val="000000" w:themeColor="text1"/>
          <w:sz w:val="24"/>
          <w:szCs w:val="24"/>
          <w:highlight w:val="none"/>
          <w:u w:val="single"/>
          <w14:textFill>
            <w14:solidFill>
              <w14:schemeClr w14:val="tx1"/>
            </w14:solidFill>
          </w14:textFill>
        </w:rPr>
        <w:t>南通市公路事业发展中心</w:t>
      </w:r>
    </w:p>
    <w:p w14:paraId="6808A1B8">
      <w:pPr>
        <w:pStyle w:val="16"/>
        <w:keepNext w:val="0"/>
        <w:keepLines w:val="0"/>
        <w:pageBreakBefore w:val="0"/>
        <w:widowControl w:val="0"/>
        <w:kinsoku/>
        <w:wordWrap/>
        <w:overflowPunct/>
        <w:autoSpaceDE/>
        <w:autoSpaceDN/>
        <w:bidi w:val="0"/>
        <w:adjustRightInd w:val="0"/>
        <w:snapToGrid w:val="0"/>
        <w:spacing w:after="0" w:line="360" w:lineRule="auto"/>
        <w:ind w:right="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根据贵方招标公告，本签字人愿意参加</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（项目名称） _______标段的投标。我们在此承诺，此次递交的投标文件内容完整、真实、准确，你单位有权为证实我单位所递交的证明文件、资料的真实性等进行调查核实，如有虚假，我方愿接受你方对此作出的一切处罚。</w:t>
      </w:r>
    </w:p>
    <w:p w14:paraId="1FF3A907">
      <w:pPr>
        <w:pStyle w:val="16"/>
        <w:keepNext w:val="0"/>
        <w:keepLines w:val="0"/>
        <w:pageBreakBefore w:val="0"/>
        <w:widowControl w:val="0"/>
        <w:kinsoku/>
        <w:wordWrap/>
        <w:overflowPunct/>
        <w:autoSpaceDE/>
        <w:autoSpaceDN/>
        <w:bidi w:val="0"/>
        <w:adjustRightInd w:val="0"/>
        <w:snapToGrid w:val="0"/>
        <w:spacing w:after="0" w:line="360" w:lineRule="auto"/>
        <w:ind w:right="0" w:firstLine="571" w:firstLineChars="238"/>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547AE63A">
      <w:pPr>
        <w:pStyle w:val="16"/>
        <w:keepNext w:val="0"/>
        <w:keepLines w:val="0"/>
        <w:pageBreakBefore w:val="0"/>
        <w:widowControl w:val="0"/>
        <w:kinsoku/>
        <w:wordWrap/>
        <w:overflowPunct/>
        <w:autoSpaceDE/>
        <w:autoSpaceDN/>
        <w:bidi w:val="0"/>
        <w:adjustRightInd w:val="0"/>
        <w:snapToGrid w:val="0"/>
        <w:spacing w:after="0" w:line="360" w:lineRule="auto"/>
        <w:ind w:right="0" w:firstLine="571" w:firstLineChars="238"/>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6A0FF909">
      <w:pPr>
        <w:keepNext w:val="0"/>
        <w:keepLines w:val="0"/>
        <w:pageBreakBefore w:val="0"/>
        <w:widowControl w:val="0"/>
        <w:kinsoku/>
        <w:wordWrap/>
        <w:overflowPunct/>
        <w:topLinePunct/>
        <w:autoSpaceDE/>
        <w:autoSpaceDN/>
        <w:bidi w:val="0"/>
        <w:adjustRightInd w:val="0"/>
        <w:snapToGrid w:val="0"/>
        <w:spacing w:line="360" w:lineRule="auto"/>
        <w:ind w:right="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投标人(盖单位公章)：</w:t>
      </w:r>
    </w:p>
    <w:p w14:paraId="6420A71D">
      <w:pPr>
        <w:keepNext w:val="0"/>
        <w:keepLines w:val="0"/>
        <w:pageBreakBefore w:val="0"/>
        <w:widowControl w:val="0"/>
        <w:kinsoku/>
        <w:wordWrap/>
        <w:overflowPunct/>
        <w:autoSpaceDE/>
        <w:autoSpaceDN/>
        <w:bidi w:val="0"/>
        <w:adjustRightInd w:val="0"/>
        <w:snapToGrid w:val="0"/>
        <w:spacing w:line="360" w:lineRule="auto"/>
        <w:ind w:right="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法定代表人(或其委托代理人)（签名</w:t>
      </w:r>
      <w:r>
        <w:rPr>
          <w:rFonts w:hAnsi="宋体"/>
          <w:kern w:val="21"/>
          <w:sz w:val="24"/>
          <w:highlight w:val="none"/>
        </w:rPr>
        <w:t>或使用印章、签名章</w:t>
      </w:r>
      <w:r>
        <w:rPr>
          <w:rFonts w:hint="eastAsia" w:ascii="宋体" w:hAnsi="宋体" w:eastAsia="宋体" w:cs="宋体"/>
          <w:color w:val="000000" w:themeColor="text1"/>
          <w:sz w:val="24"/>
          <w:szCs w:val="24"/>
          <w:highlight w:val="none"/>
          <w14:textFill>
            <w14:solidFill>
              <w14:schemeClr w14:val="tx1"/>
            </w14:solidFill>
          </w14:textFill>
        </w:rPr>
        <w:t>）：</w:t>
      </w:r>
    </w:p>
    <w:p w14:paraId="738AB392">
      <w:pPr>
        <w:keepNext w:val="0"/>
        <w:keepLines w:val="0"/>
        <w:pageBreakBefore w:val="0"/>
        <w:widowControl w:val="0"/>
        <w:kinsoku/>
        <w:wordWrap/>
        <w:overflowPunct/>
        <w:autoSpaceDE/>
        <w:autoSpaceDN/>
        <w:bidi w:val="0"/>
        <w:adjustRightInd w:val="0"/>
        <w:snapToGrid w:val="0"/>
        <w:spacing w:line="360" w:lineRule="auto"/>
        <w:ind w:right="0" w:firstLine="960" w:firstLineChars="4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年   月   日</w:t>
      </w:r>
    </w:p>
    <w:p w14:paraId="0C54C434">
      <w:pPr>
        <w:rPr>
          <w:rFonts w:ascii="Garamond" w:hAnsi="Garamond"/>
          <w:color w:val="000000" w:themeColor="text1"/>
          <w:sz w:val="28"/>
          <w:szCs w:val="28"/>
          <w:highlight w:val="none"/>
          <w14:textFill>
            <w14:solidFill>
              <w14:schemeClr w14:val="tx1"/>
            </w14:solidFill>
          </w14:textFill>
        </w:rPr>
      </w:pPr>
    </w:p>
    <w:p w14:paraId="05AF99CA">
      <w:pPr>
        <w:rPr>
          <w:rFonts w:ascii="Garamond" w:hAnsi="Garamond"/>
          <w:color w:val="000000" w:themeColor="text1"/>
          <w:sz w:val="28"/>
          <w:szCs w:val="28"/>
          <w:highlight w:val="none"/>
          <w14:textFill>
            <w14:solidFill>
              <w14:schemeClr w14:val="tx1"/>
            </w14:solidFill>
          </w14:textFill>
        </w:rPr>
      </w:pPr>
      <w:r>
        <w:rPr>
          <w:rFonts w:hint="eastAsia" w:ascii="Garamond" w:hAnsi="Garamond"/>
          <w:color w:val="000000" w:themeColor="text1"/>
          <w:sz w:val="28"/>
          <w:szCs w:val="28"/>
          <w:highlight w:val="none"/>
          <w14:textFill>
            <w14:solidFill>
              <w14:schemeClr w14:val="tx1"/>
            </w14:solidFill>
          </w14:textFill>
        </w:rPr>
        <w:br w:type="page"/>
      </w:r>
    </w:p>
    <w:p w14:paraId="20987338">
      <w:pPr>
        <w:pStyle w:val="4"/>
        <w:jc w:val="center"/>
        <w:rPr>
          <w:rFonts w:ascii="Garamond" w:hAnsi="Garamond"/>
          <w:color w:val="000000" w:themeColor="text1"/>
          <w:highlight w:val="none"/>
          <w14:textFill>
            <w14:solidFill>
              <w14:schemeClr w14:val="tx1"/>
            </w14:solidFill>
          </w14:textFill>
        </w:rPr>
      </w:pPr>
      <w:r>
        <w:rPr>
          <w:rFonts w:hint="eastAsia" w:ascii="Garamond" w:hAnsi="Garamond"/>
          <w:color w:val="000000" w:themeColor="text1"/>
          <w:sz w:val="28"/>
          <w:szCs w:val="28"/>
          <w:highlight w:val="none"/>
          <w14:textFill>
            <w14:solidFill>
              <w14:schemeClr w14:val="tx1"/>
            </w14:solidFill>
          </w14:textFill>
        </w:rPr>
        <w:t>2</w:t>
      </w:r>
      <w:r>
        <w:rPr>
          <w:rFonts w:ascii="Garamond" w:hAnsi="Garamond"/>
          <w:color w:val="000000" w:themeColor="text1"/>
          <w:sz w:val="28"/>
          <w:szCs w:val="28"/>
          <w:highlight w:val="none"/>
          <w14:textFill>
            <w14:solidFill>
              <w14:schemeClr w14:val="tx1"/>
            </w14:solidFill>
          </w14:textFill>
        </w:rPr>
        <w:t>、江苏省公路水运建设项目投标人信用承诺书</w:t>
      </w:r>
    </w:p>
    <w:p w14:paraId="1E6BD402">
      <w:pPr>
        <w:keepNext w:val="0"/>
        <w:keepLines w:val="0"/>
        <w:pageBreakBefore w:val="0"/>
        <w:widowControl w:val="0"/>
        <w:kinsoku/>
        <w:wordWrap/>
        <w:overflowPunct/>
        <w:bidi w:val="0"/>
        <w:adjustRightInd w:val="0"/>
        <w:snapToGrid w:val="0"/>
        <w:spacing w:line="360" w:lineRule="auto"/>
        <w:ind w:right="0"/>
        <w:textAlignment w:val="auto"/>
        <w:rPr>
          <w:rFonts w:hint="eastAsia" w:ascii="宋体" w:hAnsi="宋体" w:eastAsia="宋体" w:cs="宋体"/>
          <w:color w:val="000000" w:themeColor="text1"/>
          <w:spacing w:val="-5"/>
          <w:sz w:val="24"/>
          <w:szCs w:val="24"/>
          <w:highlight w:val="none"/>
          <w14:textFill>
            <w14:solidFill>
              <w14:schemeClr w14:val="tx1"/>
            </w14:solidFill>
          </w14:textFill>
        </w:rPr>
      </w:pPr>
      <w:r>
        <w:rPr>
          <w:rFonts w:hint="eastAsia" w:ascii="宋体" w:hAnsi="宋体" w:eastAsia="宋体" w:cs="宋体"/>
          <w:color w:val="000000" w:themeColor="text1"/>
          <w:spacing w:val="-5"/>
          <w:sz w:val="24"/>
          <w:szCs w:val="24"/>
          <w:highlight w:val="none"/>
          <w14:textFill>
            <w14:solidFill>
              <w14:schemeClr w14:val="tx1"/>
            </w14:solidFill>
          </w14:textFill>
        </w:rPr>
        <w:t>致：</w:t>
      </w:r>
      <w:r>
        <w:rPr>
          <w:rFonts w:hint="eastAsia" w:ascii="宋体" w:hAnsi="宋体" w:eastAsia="宋体" w:cs="宋体"/>
          <w:color w:val="000000" w:themeColor="text1"/>
          <w:spacing w:val="-5"/>
          <w:sz w:val="24"/>
          <w:szCs w:val="24"/>
          <w:highlight w:val="none"/>
          <w:u w:val="single"/>
          <w14:textFill>
            <w14:solidFill>
              <w14:schemeClr w14:val="tx1"/>
            </w14:solidFill>
          </w14:textFill>
        </w:rPr>
        <w:t>南通市公路事业发展中心</w:t>
      </w:r>
    </w:p>
    <w:p w14:paraId="7FADDED8">
      <w:pPr>
        <w:pStyle w:val="154"/>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我单位自愿参加</w:t>
      </w:r>
      <w:r>
        <w:rPr>
          <w:rFonts w:hint="eastAsia" w:ascii="宋体" w:hAnsi="宋体" w:eastAsia="宋体" w:cs="宋体"/>
          <w:sz w:val="24"/>
          <w:szCs w:val="24"/>
          <w:highlight w:val="none"/>
          <w:u w:val="single"/>
          <w:lang w:val="en-US"/>
        </w:rPr>
        <w:t xml:space="preserve">            </w:t>
      </w:r>
      <w:r>
        <w:rPr>
          <w:rFonts w:hint="eastAsia" w:ascii="宋体" w:hAnsi="宋体" w:eastAsia="宋体" w:cs="宋体"/>
          <w:sz w:val="24"/>
          <w:szCs w:val="24"/>
          <w:highlight w:val="none"/>
        </w:rPr>
        <w:t>项目</w:t>
      </w:r>
      <w:r>
        <w:rPr>
          <w:rFonts w:hint="eastAsia" w:ascii="宋体" w:hAnsi="宋体" w:eastAsia="宋体" w:cs="宋体"/>
          <w:sz w:val="24"/>
          <w:szCs w:val="24"/>
          <w:highlight w:val="none"/>
          <w:u w:val="single"/>
          <w:lang w:val="en-US"/>
        </w:rPr>
        <w:t xml:space="preserve">     </w:t>
      </w:r>
      <w:r>
        <w:rPr>
          <w:rFonts w:hint="eastAsia" w:ascii="宋体" w:hAnsi="宋体" w:eastAsia="宋体" w:cs="宋体"/>
          <w:sz w:val="24"/>
          <w:szCs w:val="24"/>
          <w:highlight w:val="none"/>
          <w:lang w:val="en-US"/>
        </w:rPr>
        <w:t xml:space="preserve"> </w:t>
      </w:r>
      <w:r>
        <w:rPr>
          <w:rFonts w:hint="eastAsia" w:ascii="宋体" w:hAnsi="宋体" w:eastAsia="宋体" w:cs="宋体"/>
          <w:sz w:val="24"/>
          <w:szCs w:val="24"/>
          <w:highlight w:val="none"/>
        </w:rPr>
        <w:t>标段的投标活动，并郑重承诺：</w:t>
      </w:r>
    </w:p>
    <w:p w14:paraId="00B919C9">
      <w:pPr>
        <w:pStyle w:val="16"/>
        <w:keepNext w:val="0"/>
        <w:keepLines w:val="0"/>
        <w:pageBreakBefore w:val="0"/>
        <w:widowControl w:val="0"/>
        <w:kinsoku/>
        <w:wordWrap/>
        <w:overflowPunct/>
        <w:topLinePunct w:val="0"/>
        <w:autoSpaceDE/>
        <w:autoSpaceDN/>
        <w:bidi w:val="0"/>
        <w:adjustRightInd w:val="0"/>
        <w:snapToGrid w:val="0"/>
        <w:spacing w:after="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1.在本项目的投标活动中遵守国家法律法规和交通运输行业有关规定，遵循公开、公平、公正和诚信原则；</w:t>
      </w:r>
    </w:p>
    <w:p w14:paraId="67D6309E">
      <w:pPr>
        <w:pStyle w:val="16"/>
        <w:keepNext w:val="0"/>
        <w:keepLines w:val="0"/>
        <w:pageBreakBefore w:val="0"/>
        <w:widowControl w:val="0"/>
        <w:kinsoku/>
        <w:wordWrap/>
        <w:overflowPunct/>
        <w:topLinePunct w:val="0"/>
        <w:autoSpaceDE/>
        <w:autoSpaceDN/>
        <w:bidi w:val="0"/>
        <w:adjustRightInd w:val="0"/>
        <w:snapToGrid w:val="0"/>
        <w:spacing w:after="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2.投标文件中所有内容均为我单位真实意愿表达，相关信息真实有效；</w:t>
      </w:r>
    </w:p>
    <w:p w14:paraId="4DA23A24">
      <w:pPr>
        <w:pStyle w:val="16"/>
        <w:keepNext w:val="0"/>
        <w:keepLines w:val="0"/>
        <w:pageBreakBefore w:val="0"/>
        <w:widowControl w:val="0"/>
        <w:kinsoku/>
        <w:wordWrap/>
        <w:overflowPunct/>
        <w:topLinePunct w:val="0"/>
        <w:autoSpaceDE/>
        <w:autoSpaceDN/>
        <w:bidi w:val="0"/>
        <w:adjustRightInd w:val="0"/>
        <w:snapToGrid w:val="0"/>
        <w:spacing w:after="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3.在本项目中无弄虚作假，无围标串标行为；</w:t>
      </w:r>
    </w:p>
    <w:p w14:paraId="7A915C5B">
      <w:pPr>
        <w:pStyle w:val="16"/>
        <w:keepNext w:val="0"/>
        <w:keepLines w:val="0"/>
        <w:pageBreakBefore w:val="0"/>
        <w:widowControl w:val="0"/>
        <w:kinsoku/>
        <w:wordWrap/>
        <w:overflowPunct/>
        <w:topLinePunct w:val="0"/>
        <w:autoSpaceDE/>
        <w:autoSpaceDN/>
        <w:bidi w:val="0"/>
        <w:adjustRightInd w:val="0"/>
        <w:snapToGrid w:val="0"/>
        <w:spacing w:after="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4.若我方中标，在合同履行过程中严格执行有关法律、法规、规章和规范性文件的规定，不转包和违法分包；</w:t>
      </w:r>
    </w:p>
    <w:p w14:paraId="69B0402A">
      <w:pPr>
        <w:pStyle w:val="16"/>
        <w:keepNext w:val="0"/>
        <w:keepLines w:val="0"/>
        <w:pageBreakBefore w:val="0"/>
        <w:widowControl w:val="0"/>
        <w:kinsoku/>
        <w:wordWrap/>
        <w:overflowPunct/>
        <w:topLinePunct w:val="0"/>
        <w:autoSpaceDE/>
        <w:autoSpaceDN/>
        <w:bidi w:val="0"/>
        <w:adjustRightInd w:val="0"/>
        <w:snapToGrid w:val="0"/>
        <w:spacing w:after="0" w:line="360" w:lineRule="auto"/>
        <w:ind w:left="0" w:right="0" w:firstLine="480" w:firstLineChars="200"/>
        <w:textAlignment w:val="auto"/>
        <w:rPr>
          <w:rFonts w:hint="eastAsia" w:ascii="宋体" w:hAnsi="宋体" w:eastAsia="宋体" w:cs="宋体"/>
          <w:color w:val="000000" w:themeColor="text1"/>
          <w:spacing w:val="-5"/>
          <w:sz w:val="24"/>
          <w:szCs w:val="24"/>
          <w:highlight w:val="none"/>
          <w14:textFill>
            <w14:solidFill>
              <w14:schemeClr w14:val="tx1"/>
            </w14:solidFill>
          </w14:textFill>
        </w:rPr>
      </w:pPr>
      <w:r>
        <w:rPr>
          <w:rFonts w:hint="eastAsia" w:ascii="宋体" w:hAnsi="宋体" w:eastAsia="宋体" w:cs="宋体"/>
          <w:sz w:val="24"/>
          <w:szCs w:val="24"/>
          <w:highlight w:val="none"/>
        </w:rPr>
        <w:t>5.我方如有违背承诺，愿意接受依法进行的处罚，按照信用管理规定记入相关责任主体和责任人信用档案，并在交通运输行业和政府相关信用网站公开。</w:t>
      </w:r>
    </w:p>
    <w:p w14:paraId="000667E9">
      <w:pPr>
        <w:keepNext w:val="0"/>
        <w:keepLines w:val="0"/>
        <w:pageBreakBefore w:val="0"/>
        <w:widowControl w:val="0"/>
        <w:kinsoku/>
        <w:wordWrap/>
        <w:overflowPunct/>
        <w:topLinePunct/>
        <w:bidi w:val="0"/>
        <w:adjustRightInd w:val="0"/>
        <w:snapToGrid w:val="0"/>
        <w:spacing w:line="360" w:lineRule="auto"/>
        <w:ind w:right="0"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9015B99">
      <w:pPr>
        <w:keepNext w:val="0"/>
        <w:keepLines w:val="0"/>
        <w:pageBreakBefore w:val="0"/>
        <w:widowControl w:val="0"/>
        <w:kinsoku/>
        <w:wordWrap/>
        <w:overflowPunct/>
        <w:topLinePunct/>
        <w:bidi w:val="0"/>
        <w:adjustRightInd w:val="0"/>
        <w:snapToGrid w:val="0"/>
        <w:spacing w:line="360" w:lineRule="auto"/>
        <w:ind w:right="0"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684C6AF1">
      <w:pPr>
        <w:keepNext w:val="0"/>
        <w:keepLines w:val="0"/>
        <w:pageBreakBefore w:val="0"/>
        <w:widowControl w:val="0"/>
        <w:kinsoku/>
        <w:wordWrap/>
        <w:overflowPunct/>
        <w:topLinePunct/>
        <w:bidi w:val="0"/>
        <w:adjustRightInd w:val="0"/>
        <w:snapToGrid w:val="0"/>
        <w:spacing w:line="360" w:lineRule="auto"/>
        <w:ind w:right="0"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投标人(盖单位公章)：</w:t>
      </w:r>
    </w:p>
    <w:p w14:paraId="573B01CB">
      <w:pPr>
        <w:keepNext w:val="0"/>
        <w:keepLines w:val="0"/>
        <w:pageBreakBefore w:val="0"/>
        <w:widowControl w:val="0"/>
        <w:kinsoku/>
        <w:wordWrap/>
        <w:overflowPunct/>
        <w:bidi w:val="0"/>
        <w:adjustRightInd w:val="0"/>
        <w:snapToGrid w:val="0"/>
        <w:spacing w:line="360" w:lineRule="auto"/>
        <w:ind w:right="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法定代表人(或其委托代理人)（签名</w:t>
      </w:r>
      <w:r>
        <w:rPr>
          <w:rFonts w:hAnsi="宋体"/>
          <w:kern w:val="21"/>
          <w:sz w:val="24"/>
          <w:highlight w:val="none"/>
        </w:rPr>
        <w:t>或使用印章、签名章</w:t>
      </w:r>
      <w:r>
        <w:rPr>
          <w:rFonts w:hint="eastAsia" w:ascii="宋体" w:hAnsi="宋体" w:eastAsia="宋体" w:cs="宋体"/>
          <w:color w:val="000000" w:themeColor="text1"/>
          <w:sz w:val="24"/>
          <w:szCs w:val="24"/>
          <w:highlight w:val="none"/>
          <w14:textFill>
            <w14:solidFill>
              <w14:schemeClr w14:val="tx1"/>
            </w14:solidFill>
          </w14:textFill>
        </w:rPr>
        <w:t>）：</w:t>
      </w:r>
    </w:p>
    <w:p w14:paraId="5199F4A5">
      <w:pPr>
        <w:keepNext w:val="0"/>
        <w:keepLines w:val="0"/>
        <w:pageBreakBefore w:val="0"/>
        <w:widowControl w:val="0"/>
        <w:kinsoku/>
        <w:wordWrap/>
        <w:overflowPunct/>
        <w:bidi w:val="0"/>
        <w:adjustRightInd w:val="0"/>
        <w:snapToGrid w:val="0"/>
        <w:spacing w:line="360" w:lineRule="auto"/>
        <w:ind w:right="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年   月   日</w:t>
      </w:r>
    </w:p>
    <w:p w14:paraId="5A785FD6">
      <w:pPr>
        <w:spacing w:line="300" w:lineRule="exact"/>
        <w:rPr>
          <w:rFonts w:ascii="宋体" w:hAnsi="宋体" w:cs="宋体"/>
          <w:color w:val="000000" w:themeColor="text1"/>
          <w:highlight w:val="none"/>
          <w14:textFill>
            <w14:solidFill>
              <w14:schemeClr w14:val="tx1"/>
            </w14:solidFill>
          </w14:textFill>
        </w:rPr>
        <w:sectPr>
          <w:pgSz w:w="11906" w:h="16838"/>
          <w:pgMar w:top="1417" w:right="1247" w:bottom="1417" w:left="1417" w:header="851" w:footer="680" w:gutter="0"/>
          <w:pgNumType w:fmt="decimal"/>
          <w:cols w:space="0" w:num="1"/>
          <w:docGrid w:linePitch="312" w:charSpace="0"/>
        </w:sectPr>
      </w:pPr>
      <w:r>
        <w:rPr>
          <w:rFonts w:hint="eastAsia" w:ascii="宋体" w:hAnsi="宋体" w:cs="宋体"/>
          <w:color w:val="000000" w:themeColor="text1"/>
          <w:highlight w:val="none"/>
          <w14:textFill>
            <w14:solidFill>
              <w14:schemeClr w14:val="tx1"/>
            </w14:solidFill>
          </w14:textFill>
        </w:rPr>
        <w:t xml:space="preserve"> </w:t>
      </w:r>
    </w:p>
    <w:p w14:paraId="510ABFA6">
      <w:pPr>
        <w:pStyle w:val="4"/>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3、投标人认为有必要提供给评标委员会的其他材料</w:t>
      </w:r>
    </w:p>
    <w:p w14:paraId="2939EB4F">
      <w:pPr>
        <w:rPr>
          <w:color w:val="000000" w:themeColor="text1"/>
          <w:highlight w:val="none"/>
          <w14:textFill>
            <w14:solidFill>
              <w14:schemeClr w14:val="tx1"/>
            </w14:solidFill>
          </w14:textFill>
        </w:rPr>
      </w:pPr>
    </w:p>
    <w:p w14:paraId="58D12311">
      <w:pPr>
        <w:spacing w:line="360" w:lineRule="auto"/>
        <w:jc w:val="center"/>
        <w:rPr>
          <w:rFonts w:ascii="Garamond" w:hAnsi="Garamond"/>
          <w:color w:val="000000" w:themeColor="text1"/>
          <w:szCs w:val="21"/>
          <w:highlight w:val="none"/>
          <w14:textFill>
            <w14:solidFill>
              <w14:schemeClr w14:val="tx1"/>
            </w14:solidFill>
          </w14:textFill>
        </w:rPr>
        <w:sectPr>
          <w:pgSz w:w="11906" w:h="16838"/>
          <w:pgMar w:top="1417" w:right="1247" w:bottom="1417" w:left="1417" w:header="851" w:footer="680" w:gutter="0"/>
          <w:pgNumType w:fmt="decimal"/>
          <w:cols w:space="0" w:num="1"/>
          <w:docGrid w:linePitch="312" w:charSpace="0"/>
        </w:sectPr>
      </w:pPr>
    </w:p>
    <w:p w14:paraId="67BC83F4">
      <w:pPr>
        <w:spacing w:line="360" w:lineRule="auto"/>
        <w:jc w:val="right"/>
        <w:rPr>
          <w:rFonts w:ascii="Garamond" w:hAnsi="Garamond"/>
          <w:b/>
          <w:color w:val="000000" w:themeColor="text1"/>
          <w:sz w:val="36"/>
          <w:szCs w:val="36"/>
          <w:highlight w:val="none"/>
          <w14:textFill>
            <w14:solidFill>
              <w14:schemeClr w14:val="tx1"/>
            </w14:solidFill>
          </w14:textFill>
        </w:rPr>
      </w:pPr>
      <w:r>
        <w:rPr>
          <w:rFonts w:ascii="Garamond" w:hAnsi="Garamond"/>
          <w:b/>
          <w:color w:val="000000" w:themeColor="text1"/>
          <w:sz w:val="36"/>
          <w:szCs w:val="36"/>
          <w:highlight w:val="none"/>
          <w14:textFill>
            <w14:solidFill>
              <w14:schemeClr w14:val="tx1"/>
            </w14:solidFill>
          </w14:textFill>
        </w:rPr>
        <w:t>正/副本</w:t>
      </w:r>
    </w:p>
    <w:p w14:paraId="0E769DA1">
      <w:pPr>
        <w:spacing w:line="360" w:lineRule="auto"/>
        <w:jc w:val="center"/>
        <w:rPr>
          <w:rFonts w:hint="eastAsia" w:eastAsia="黑体"/>
          <w:b/>
          <w:bCs/>
          <w:color w:val="000000" w:themeColor="text1"/>
          <w:sz w:val="36"/>
          <w:szCs w:val="36"/>
          <w:highlight w:val="none"/>
          <w:lang w:eastAsia="zh-CN"/>
          <w14:textFill>
            <w14:solidFill>
              <w14:schemeClr w14:val="tx1"/>
            </w14:solidFill>
          </w14:textFill>
        </w:rPr>
      </w:pPr>
      <w:r>
        <w:rPr>
          <w:rFonts w:hint="eastAsia" w:ascii="Garamond" w:hAnsi="Garamond" w:eastAsia="黑体"/>
          <w:b/>
          <w:color w:val="000000" w:themeColor="text1"/>
          <w:sz w:val="36"/>
          <w:szCs w:val="36"/>
          <w:highlight w:val="none"/>
          <w:lang w:eastAsia="zh-CN"/>
          <w14:textFill>
            <w14:solidFill>
              <w14:schemeClr w14:val="tx1"/>
            </w14:solidFill>
          </w14:textFill>
        </w:rPr>
        <w:t>525省道（328国道-沪陕高速）快速化改造方案研究项目</w:t>
      </w:r>
    </w:p>
    <w:p w14:paraId="212B860D">
      <w:pPr>
        <w:spacing w:line="360" w:lineRule="auto"/>
        <w:jc w:val="center"/>
        <w:rPr>
          <w:rFonts w:ascii="Garamond" w:hAnsi="Garamond"/>
          <w:b/>
          <w:color w:val="000000" w:themeColor="text1"/>
          <w:sz w:val="36"/>
          <w:szCs w:val="36"/>
          <w:highlight w:val="none"/>
          <w14:textFill>
            <w14:solidFill>
              <w14:schemeClr w14:val="tx1"/>
            </w14:solidFill>
          </w14:textFill>
        </w:rPr>
      </w:pPr>
      <w:r>
        <w:rPr>
          <w:rFonts w:hint="eastAsia" w:eastAsia="黑体"/>
          <w:b/>
          <w:bCs/>
          <w:color w:val="000000" w:themeColor="text1"/>
          <w:sz w:val="36"/>
          <w:szCs w:val="36"/>
          <w:highlight w:val="none"/>
          <w14:textFill>
            <w14:solidFill>
              <w14:schemeClr w14:val="tx1"/>
            </w14:solidFill>
          </w14:textFill>
        </w:rPr>
        <w:t>（</w:t>
      </w:r>
      <w:r>
        <w:rPr>
          <w:rFonts w:hint="eastAsia" w:eastAsia="黑体"/>
          <w:b/>
          <w:snapToGrid w:val="0"/>
          <w:color w:val="000000" w:themeColor="text1"/>
          <w:kern w:val="0"/>
          <w:sz w:val="36"/>
          <w:szCs w:val="36"/>
          <w:highlight w:val="none"/>
          <w:lang w:eastAsia="zh-CN"/>
          <w14:textFill>
            <w14:solidFill>
              <w14:schemeClr w14:val="tx1"/>
            </w14:solidFill>
          </w14:textFill>
        </w:rPr>
        <w:t>2025GCGZ标段</w:t>
      </w:r>
      <w:r>
        <w:rPr>
          <w:rFonts w:hint="eastAsia" w:eastAsia="黑体"/>
          <w:b/>
          <w:bCs/>
          <w:color w:val="000000" w:themeColor="text1"/>
          <w:sz w:val="36"/>
          <w:szCs w:val="36"/>
          <w:highlight w:val="none"/>
          <w14:textFill>
            <w14:solidFill>
              <w14:schemeClr w14:val="tx1"/>
            </w14:solidFill>
          </w14:textFill>
        </w:rPr>
        <w:t>）</w:t>
      </w:r>
    </w:p>
    <w:p w14:paraId="36227477">
      <w:pPr>
        <w:spacing w:line="1100" w:lineRule="exact"/>
        <w:jc w:val="center"/>
        <w:rPr>
          <w:rFonts w:ascii="Garamond" w:hAnsi="Garamond"/>
          <w:b/>
          <w:color w:val="000000" w:themeColor="text1"/>
          <w:sz w:val="36"/>
          <w:szCs w:val="36"/>
          <w:highlight w:val="none"/>
          <w14:textFill>
            <w14:solidFill>
              <w14:schemeClr w14:val="tx1"/>
            </w14:solidFill>
          </w14:textFill>
        </w:rPr>
      </w:pPr>
    </w:p>
    <w:p w14:paraId="3E891F09">
      <w:pPr>
        <w:spacing w:line="1100" w:lineRule="exact"/>
        <w:jc w:val="center"/>
        <w:rPr>
          <w:rFonts w:ascii="Garamond" w:hAnsi="Garamond"/>
          <w:b/>
          <w:color w:val="000000" w:themeColor="text1"/>
          <w:sz w:val="52"/>
          <w:szCs w:val="52"/>
          <w:highlight w:val="none"/>
          <w14:textFill>
            <w14:solidFill>
              <w14:schemeClr w14:val="tx1"/>
            </w14:solidFill>
          </w14:textFill>
        </w:rPr>
      </w:pPr>
    </w:p>
    <w:p w14:paraId="0BD6154C">
      <w:pPr>
        <w:spacing w:line="1100" w:lineRule="exact"/>
        <w:jc w:val="center"/>
        <w:rPr>
          <w:rFonts w:ascii="Garamond" w:hAnsi="Garamond"/>
          <w:b/>
          <w:color w:val="000000" w:themeColor="text1"/>
          <w:sz w:val="84"/>
          <w:szCs w:val="84"/>
          <w:highlight w:val="none"/>
          <w14:textFill>
            <w14:solidFill>
              <w14:schemeClr w14:val="tx1"/>
            </w14:solidFill>
          </w14:textFill>
        </w:rPr>
      </w:pPr>
      <w:r>
        <w:rPr>
          <w:rFonts w:ascii="Garamond" w:hAnsi="Garamond"/>
          <w:b/>
          <w:color w:val="000000" w:themeColor="text1"/>
          <w:sz w:val="84"/>
          <w:szCs w:val="84"/>
          <w:highlight w:val="none"/>
          <w14:textFill>
            <w14:solidFill>
              <w14:schemeClr w14:val="tx1"/>
            </w14:solidFill>
          </w14:textFill>
        </w:rPr>
        <w:t>投 标 文 件</w:t>
      </w:r>
    </w:p>
    <w:p w14:paraId="47B4B6B3">
      <w:pPr>
        <w:spacing w:line="1100" w:lineRule="exact"/>
        <w:jc w:val="center"/>
        <w:rPr>
          <w:rFonts w:ascii="Garamond" w:hAnsi="Garamond"/>
          <w:b/>
          <w:color w:val="000000" w:themeColor="text1"/>
          <w:sz w:val="36"/>
          <w:szCs w:val="36"/>
          <w:highlight w:val="none"/>
          <w14:textFill>
            <w14:solidFill>
              <w14:schemeClr w14:val="tx1"/>
            </w14:solidFill>
          </w14:textFill>
        </w:rPr>
      </w:pPr>
      <w:r>
        <w:rPr>
          <w:rFonts w:ascii="Garamond" w:hAnsi="Garamond"/>
          <w:b/>
          <w:color w:val="000000" w:themeColor="text1"/>
          <w:sz w:val="36"/>
          <w:szCs w:val="36"/>
          <w:highlight w:val="none"/>
          <w14:textFill>
            <w14:solidFill>
              <w14:schemeClr w14:val="tx1"/>
            </w14:solidFill>
          </w14:textFill>
        </w:rPr>
        <w:t>第二个信封（投标报价）</w:t>
      </w:r>
    </w:p>
    <w:p w14:paraId="68456075">
      <w:pPr>
        <w:spacing w:line="1100" w:lineRule="exact"/>
        <w:jc w:val="center"/>
        <w:rPr>
          <w:rFonts w:ascii="Garamond" w:hAnsi="Garamond"/>
          <w:b/>
          <w:color w:val="000000" w:themeColor="text1"/>
          <w:sz w:val="52"/>
          <w:szCs w:val="52"/>
          <w:highlight w:val="none"/>
          <w14:textFill>
            <w14:solidFill>
              <w14:schemeClr w14:val="tx1"/>
            </w14:solidFill>
          </w14:textFill>
        </w:rPr>
      </w:pPr>
    </w:p>
    <w:p w14:paraId="37B6E732">
      <w:pPr>
        <w:spacing w:line="1100" w:lineRule="exact"/>
        <w:jc w:val="center"/>
        <w:rPr>
          <w:rFonts w:ascii="Garamond" w:hAnsi="Garamond"/>
          <w:b/>
          <w:color w:val="000000" w:themeColor="text1"/>
          <w:sz w:val="52"/>
          <w:szCs w:val="52"/>
          <w:highlight w:val="none"/>
          <w14:textFill>
            <w14:solidFill>
              <w14:schemeClr w14:val="tx1"/>
            </w14:solidFill>
          </w14:textFill>
        </w:rPr>
      </w:pPr>
    </w:p>
    <w:p w14:paraId="66314340">
      <w:pPr>
        <w:spacing w:line="1100" w:lineRule="exact"/>
        <w:jc w:val="center"/>
        <w:rPr>
          <w:rFonts w:ascii="Garamond" w:hAnsi="Garamond"/>
          <w:b/>
          <w:color w:val="000000" w:themeColor="text1"/>
          <w:sz w:val="36"/>
          <w:szCs w:val="36"/>
          <w:highlight w:val="none"/>
          <w14:textFill>
            <w14:solidFill>
              <w14:schemeClr w14:val="tx1"/>
            </w14:solidFill>
          </w14:textFill>
        </w:rPr>
      </w:pPr>
      <w:r>
        <w:rPr>
          <w:rFonts w:ascii="Garamond" w:hAnsi="Garamond"/>
          <w:b/>
          <w:color w:val="000000" w:themeColor="text1"/>
          <w:sz w:val="36"/>
          <w:szCs w:val="36"/>
          <w:highlight w:val="none"/>
          <w14:textFill>
            <w14:solidFill>
              <w14:schemeClr w14:val="tx1"/>
            </w14:solidFill>
          </w14:textFill>
        </w:rPr>
        <w:t>投标人：__________（盖单位章）</w:t>
      </w:r>
    </w:p>
    <w:p w14:paraId="6C9DD50E">
      <w:pPr>
        <w:spacing w:line="1100" w:lineRule="exact"/>
        <w:jc w:val="center"/>
        <w:rPr>
          <w:rFonts w:ascii="Garamond" w:hAnsi="Garamond"/>
          <w:b/>
          <w:color w:val="000000" w:themeColor="text1"/>
          <w:sz w:val="36"/>
          <w:szCs w:val="36"/>
          <w:highlight w:val="none"/>
          <w14:textFill>
            <w14:solidFill>
              <w14:schemeClr w14:val="tx1"/>
            </w14:solidFill>
          </w14:textFill>
        </w:rPr>
      </w:pPr>
      <w:r>
        <w:rPr>
          <w:rFonts w:ascii="Garamond" w:hAnsi="Garamond"/>
          <w:b/>
          <w:color w:val="000000" w:themeColor="text1"/>
          <w:sz w:val="36"/>
          <w:szCs w:val="36"/>
          <w:highlight w:val="none"/>
          <w14:textFill>
            <w14:solidFill>
              <w14:schemeClr w14:val="tx1"/>
            </w14:solidFill>
          </w14:textFill>
        </w:rPr>
        <w:t>____年____月____日</w:t>
      </w:r>
    </w:p>
    <w:p w14:paraId="79DF59B8">
      <w:pPr>
        <w:pStyle w:val="3"/>
        <w:spacing w:before="0" w:after="0" w:line="360" w:lineRule="auto"/>
        <w:ind w:firstLine="720" w:firstLineChars="224"/>
        <w:rPr>
          <w:rFonts w:ascii="Garamond" w:hAnsi="Garamond" w:eastAsia="宋体"/>
          <w:color w:val="000000" w:themeColor="text1"/>
          <w:highlight w:val="none"/>
          <w14:textFill>
            <w14:solidFill>
              <w14:schemeClr w14:val="tx1"/>
            </w14:solidFill>
          </w14:textFill>
        </w:rPr>
        <w:sectPr>
          <w:pgSz w:w="11906" w:h="16838"/>
          <w:pgMar w:top="1417" w:right="1247" w:bottom="1417" w:left="1417" w:header="851" w:footer="680" w:gutter="0"/>
          <w:pgNumType w:fmt="decimal"/>
          <w:cols w:space="0" w:num="1"/>
          <w:docGrid w:linePitch="312" w:charSpace="0"/>
        </w:sectPr>
      </w:pPr>
    </w:p>
    <w:p w14:paraId="39FBD2E2">
      <w:pPr>
        <w:spacing w:line="400" w:lineRule="exact"/>
        <w:jc w:val="center"/>
        <w:rPr>
          <w:rFonts w:ascii="Garamond" w:hAnsi="Garamond"/>
          <w:b/>
          <w:color w:val="000000" w:themeColor="text1"/>
          <w:sz w:val="32"/>
          <w:szCs w:val="32"/>
          <w:highlight w:val="none"/>
          <w14:textFill>
            <w14:solidFill>
              <w14:schemeClr w14:val="tx1"/>
            </w14:solidFill>
          </w14:textFill>
        </w:rPr>
      </w:pPr>
      <w:r>
        <w:rPr>
          <w:rFonts w:ascii="Garamond" w:hAnsi="Garamond"/>
          <w:b/>
          <w:color w:val="000000" w:themeColor="text1"/>
          <w:sz w:val="32"/>
          <w:szCs w:val="32"/>
          <w:highlight w:val="none"/>
          <w14:textFill>
            <w14:solidFill>
              <w14:schemeClr w14:val="tx1"/>
            </w14:solidFill>
          </w14:textFill>
        </w:rPr>
        <w:t>目    录</w:t>
      </w:r>
    </w:p>
    <w:p w14:paraId="701211C7">
      <w:pPr>
        <w:spacing w:line="360" w:lineRule="auto"/>
        <w:rPr>
          <w:rFonts w:ascii="Garamond" w:hAnsi="Garamond"/>
          <w:color w:val="000000" w:themeColor="text1"/>
          <w:sz w:val="28"/>
          <w:szCs w:val="28"/>
          <w:highlight w:val="none"/>
          <w14:textFill>
            <w14:solidFill>
              <w14:schemeClr w14:val="tx1"/>
            </w14:solidFill>
          </w14:textFill>
        </w:rPr>
      </w:pPr>
      <w:r>
        <w:rPr>
          <w:rFonts w:ascii="Garamond" w:hAnsi="Garamond"/>
          <w:color w:val="000000" w:themeColor="text1"/>
          <w:sz w:val="28"/>
          <w:szCs w:val="28"/>
          <w:highlight w:val="none"/>
          <w14:textFill>
            <w14:solidFill>
              <w14:schemeClr w14:val="tx1"/>
            </w14:solidFill>
          </w14:textFill>
        </w:rPr>
        <w:t>一、报价函</w:t>
      </w:r>
    </w:p>
    <w:p w14:paraId="36498A00">
      <w:pPr>
        <w:pStyle w:val="3"/>
        <w:spacing w:before="0" w:after="0" w:line="360" w:lineRule="auto"/>
        <w:rPr>
          <w:rFonts w:ascii="Garamond" w:hAnsi="Garamond" w:eastAsia="宋体"/>
          <w:color w:val="000000" w:themeColor="text1"/>
          <w:highlight w:val="none"/>
          <w14:textFill>
            <w14:solidFill>
              <w14:schemeClr w14:val="tx1"/>
            </w14:solidFill>
          </w14:textFill>
        </w:rPr>
        <w:sectPr>
          <w:pgSz w:w="11906" w:h="16838"/>
          <w:pgMar w:top="1417" w:right="1247" w:bottom="1417" w:left="1417" w:header="851" w:footer="680" w:gutter="0"/>
          <w:pgNumType w:fmt="decimal"/>
          <w:cols w:space="0" w:num="1"/>
          <w:docGrid w:linePitch="312" w:charSpace="0"/>
        </w:sectPr>
      </w:pPr>
    </w:p>
    <w:p w14:paraId="5B7D14DC">
      <w:pPr>
        <w:pStyle w:val="157"/>
        <w:numPr>
          <w:ilvl w:val="0"/>
          <w:numId w:val="0"/>
        </w:numPr>
        <w:spacing w:before="120" w:beforeLines="50" w:after="120" w:afterLines="50" w:line="360" w:lineRule="auto"/>
        <w:outlineLvl w:val="2"/>
        <w:rPr>
          <w:rFonts w:ascii="Garamond" w:hAnsi="Garamond" w:eastAsia="宋体"/>
          <w:color w:val="000000" w:themeColor="text1"/>
          <w:sz w:val="28"/>
          <w:szCs w:val="28"/>
          <w:highlight w:val="none"/>
          <w14:textFill>
            <w14:solidFill>
              <w14:schemeClr w14:val="tx1"/>
            </w14:solidFill>
          </w14:textFill>
        </w:rPr>
      </w:pPr>
      <w:r>
        <w:rPr>
          <w:rFonts w:hint="eastAsia" w:ascii="Garamond" w:hAnsi="Garamond" w:eastAsia="宋体" w:cs="Times New Roman"/>
          <w:b/>
          <w:bCs/>
          <w:color w:val="000000" w:themeColor="text1"/>
          <w:kern w:val="2"/>
          <w:sz w:val="28"/>
          <w:szCs w:val="28"/>
          <w:highlight w:val="none"/>
          <w:lang w:val="en-US" w:eastAsia="zh-CN" w:bidi="ar-SA"/>
          <w14:textFill>
            <w14:solidFill>
              <w14:schemeClr w14:val="tx1"/>
            </w14:solidFill>
          </w14:textFill>
        </w:rPr>
        <w:t>一、</w:t>
      </w:r>
      <w:r>
        <w:rPr>
          <w:rFonts w:ascii="Garamond" w:hAnsi="Garamond" w:eastAsia="宋体"/>
          <w:color w:val="000000" w:themeColor="text1"/>
          <w:sz w:val="28"/>
          <w:szCs w:val="28"/>
          <w:highlight w:val="none"/>
          <w14:textFill>
            <w14:solidFill>
              <w14:schemeClr w14:val="tx1"/>
            </w14:solidFill>
          </w14:textFill>
        </w:rPr>
        <w:t>报价函</w:t>
      </w:r>
    </w:p>
    <w:p w14:paraId="59343CA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u w:val="single"/>
          <w14:textFill>
            <w14:solidFill>
              <w14:schemeClr w14:val="tx1"/>
            </w14:solidFill>
          </w14:textFill>
        </w:rPr>
        <w:t>南通市公路事业发展中心</w:t>
      </w:r>
      <w:r>
        <w:rPr>
          <w:rFonts w:hint="eastAsia" w:ascii="宋体" w:hAnsi="宋体" w:eastAsia="宋体" w:cs="宋体"/>
          <w:b/>
          <w:color w:val="000000" w:themeColor="text1"/>
          <w:sz w:val="24"/>
          <w:szCs w:val="24"/>
          <w:highlight w:val="none"/>
          <w14:textFill>
            <w14:solidFill>
              <w14:schemeClr w14:val="tx1"/>
            </w14:solidFill>
          </w14:textFill>
        </w:rPr>
        <w:t>：</w:t>
      </w:r>
    </w:p>
    <w:p w14:paraId="0B98BCE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我方已仔细研究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（项目名称）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标段招标文件的全部内容（含补遗书第_____号至第____号），在考察工程现场后，愿意以</w:t>
      </w:r>
      <w:r>
        <w:rPr>
          <w:rFonts w:hint="eastAsia" w:ascii="宋体" w:hAnsi="宋体" w:eastAsia="宋体" w:cs="宋体"/>
          <w:color w:val="000000" w:themeColor="text1"/>
          <w:sz w:val="24"/>
          <w:szCs w:val="24"/>
          <w:highlight w:val="none"/>
          <w:lang w:eastAsia="zh-CN"/>
          <w14:textFill>
            <w14:solidFill>
              <w14:schemeClr w14:val="tx1"/>
            </w14:solidFill>
          </w14:textFill>
        </w:rPr>
        <w:t>人民币</w:t>
      </w:r>
      <w:r>
        <w:rPr>
          <w:rFonts w:hint="eastAsia" w:ascii="宋体" w:hAnsi="宋体" w:eastAsia="宋体" w:cs="宋体"/>
          <w:color w:val="000000" w:themeColor="text1"/>
          <w:sz w:val="24"/>
          <w:szCs w:val="24"/>
          <w:highlight w:val="none"/>
          <w:u w:val="single"/>
          <w14:textFill>
            <w14:solidFill>
              <w14:schemeClr w14:val="tx1"/>
            </w14:solidFill>
          </w14:textFill>
        </w:rPr>
        <w:t xml:space="preserve">大写     </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元</w:t>
      </w:r>
      <w:r>
        <w:rPr>
          <w:rFonts w:hint="eastAsia" w:ascii="宋体" w:hAnsi="宋体" w:eastAsia="宋体" w:cs="宋体"/>
          <w:color w:val="000000" w:themeColor="text1"/>
          <w:sz w:val="24"/>
          <w:szCs w:val="24"/>
          <w:highlight w:val="none"/>
          <w:u w:val="single"/>
          <w14:textFill>
            <w14:solidFill>
              <w14:schemeClr w14:val="tx1"/>
            </w14:solidFill>
          </w14:textFill>
        </w:rPr>
        <w:t>（小写：</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的投标报价，按合同约定承担并完成全部工作。</w:t>
      </w:r>
    </w:p>
    <w:p w14:paraId="741622C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在合同协议书正式签署生效之前，本投标函连同你方的中标通知书将构成我们双方之间共同遵守的文件，对双方具有约束力。</w:t>
      </w:r>
    </w:p>
    <w:p w14:paraId="2791254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我们理解，贵方不一定接受最低标价的投标或其他任何投标。同时也理解，你方不负担我方的任何投标费用。</w:t>
      </w:r>
    </w:p>
    <w:p w14:paraId="4DF8F311">
      <w:pPr>
        <w:spacing w:line="360" w:lineRule="auto"/>
        <w:ind w:firstLine="420" w:firstLineChars="200"/>
        <w:rPr>
          <w:rFonts w:ascii="Garamond" w:hAnsi="Garamond"/>
          <w:color w:val="000000" w:themeColor="text1"/>
          <w:szCs w:val="21"/>
          <w:highlight w:val="none"/>
          <w14:textFill>
            <w14:solidFill>
              <w14:schemeClr w14:val="tx1"/>
            </w14:solidFill>
          </w14:textFill>
        </w:rPr>
      </w:pPr>
    </w:p>
    <w:p w14:paraId="65EBFE6D">
      <w:pPr>
        <w:spacing w:line="360" w:lineRule="auto"/>
        <w:jc w:val="left"/>
        <w:rPr>
          <w:rFonts w:ascii="Garamond" w:hAnsi="Garamond"/>
          <w:color w:val="000000" w:themeColor="text1"/>
          <w:szCs w:val="21"/>
          <w:highlight w:val="none"/>
          <w14:textFill>
            <w14:solidFill>
              <w14:schemeClr w14:val="tx1"/>
            </w14:solidFill>
          </w14:textFill>
        </w:rPr>
      </w:pPr>
    </w:p>
    <w:p w14:paraId="44C55A00">
      <w:pPr>
        <w:spacing w:line="360" w:lineRule="auto"/>
        <w:jc w:val="left"/>
        <w:rPr>
          <w:rFonts w:ascii="Garamond" w:hAnsi="Garamond"/>
          <w:color w:val="000000" w:themeColor="text1"/>
          <w:szCs w:val="21"/>
          <w:highlight w:val="none"/>
          <w14:textFill>
            <w14:solidFill>
              <w14:schemeClr w14:val="tx1"/>
            </w14:solidFill>
          </w14:textFill>
        </w:rPr>
      </w:pPr>
    </w:p>
    <w:p w14:paraId="77B1F7E4">
      <w:pPr>
        <w:spacing w:line="36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投标人：（盖单位章）</w:t>
      </w:r>
    </w:p>
    <w:p w14:paraId="3113B8C2">
      <w:pPr>
        <w:spacing w:line="36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法定代表人或其委托代理人：（签名或使用印章、签名章）</w:t>
      </w:r>
    </w:p>
    <w:p w14:paraId="58146CB3">
      <w:pPr>
        <w:spacing w:line="36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地址：</w:t>
      </w:r>
    </w:p>
    <w:p w14:paraId="4AAC6262">
      <w:pPr>
        <w:spacing w:line="36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p>
    <w:p w14:paraId="732EB754">
      <w:pPr>
        <w:spacing w:line="36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传真：</w:t>
      </w:r>
    </w:p>
    <w:p w14:paraId="625E5904">
      <w:pPr>
        <w:spacing w:line="36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邮政编码：</w:t>
      </w:r>
    </w:p>
    <w:p w14:paraId="7F21F1C0">
      <w:pPr>
        <w:spacing w:line="36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_______年_____月_______日</w:t>
      </w:r>
    </w:p>
    <w:p w14:paraId="131CA8A1">
      <w:pPr>
        <w:spacing w:line="360" w:lineRule="auto"/>
        <w:jc w:val="center"/>
        <w:rPr>
          <w:rFonts w:ascii="Garamond" w:hAnsi="Garamond"/>
          <w:b/>
          <w:bCs/>
          <w:snapToGrid w:val="0"/>
          <w:color w:val="000000" w:themeColor="text1"/>
          <w:kern w:val="0"/>
          <w:sz w:val="32"/>
          <w:highlight w:val="none"/>
          <w14:textFill>
            <w14:solidFill>
              <w14:schemeClr w14:val="tx1"/>
            </w14:solidFill>
          </w14:textFill>
        </w:rPr>
      </w:pPr>
    </w:p>
    <w:p w14:paraId="000BC43B">
      <w:pPr>
        <w:spacing w:line="360" w:lineRule="auto"/>
        <w:jc w:val="center"/>
        <w:rPr>
          <w:rFonts w:ascii="Garamond" w:hAnsi="Garamond"/>
          <w:b/>
          <w:bCs/>
          <w:snapToGrid w:val="0"/>
          <w:color w:val="000000" w:themeColor="text1"/>
          <w:kern w:val="0"/>
          <w:sz w:val="32"/>
          <w:highlight w:val="none"/>
          <w14:textFill>
            <w14:solidFill>
              <w14:schemeClr w14:val="tx1"/>
            </w14:solidFill>
          </w14:textFill>
        </w:rPr>
      </w:pPr>
    </w:p>
    <w:p w14:paraId="1A1FA80E">
      <w:pPr>
        <w:spacing w:line="360" w:lineRule="auto"/>
        <w:jc w:val="center"/>
        <w:rPr>
          <w:rFonts w:ascii="Garamond" w:hAnsi="Garamond"/>
          <w:b/>
          <w:bCs/>
          <w:snapToGrid w:val="0"/>
          <w:color w:val="000000" w:themeColor="text1"/>
          <w:kern w:val="0"/>
          <w:sz w:val="32"/>
          <w:highlight w:val="none"/>
          <w14:textFill>
            <w14:solidFill>
              <w14:schemeClr w14:val="tx1"/>
            </w14:solidFill>
          </w14:textFill>
        </w:rPr>
      </w:pPr>
    </w:p>
    <w:p w14:paraId="7E224B2B">
      <w:pPr>
        <w:spacing w:line="360" w:lineRule="auto"/>
        <w:jc w:val="center"/>
        <w:rPr>
          <w:rFonts w:ascii="Garamond" w:hAnsi="Garamond"/>
          <w:b/>
          <w:bCs/>
          <w:snapToGrid w:val="0"/>
          <w:color w:val="000000" w:themeColor="text1"/>
          <w:kern w:val="0"/>
          <w:sz w:val="32"/>
          <w:highlight w:val="none"/>
          <w14:textFill>
            <w14:solidFill>
              <w14:schemeClr w14:val="tx1"/>
            </w14:solidFill>
          </w14:textFill>
        </w:rPr>
      </w:pPr>
    </w:p>
    <w:p w14:paraId="112CD38A">
      <w:pPr>
        <w:spacing w:line="360" w:lineRule="auto"/>
        <w:jc w:val="center"/>
        <w:rPr>
          <w:rFonts w:ascii="Garamond" w:hAnsi="Garamond"/>
          <w:b/>
          <w:bCs/>
          <w:snapToGrid w:val="0"/>
          <w:color w:val="000000" w:themeColor="text1"/>
          <w:kern w:val="0"/>
          <w:sz w:val="32"/>
          <w:highlight w:val="none"/>
          <w14:textFill>
            <w14:solidFill>
              <w14:schemeClr w14:val="tx1"/>
            </w14:solidFill>
          </w14:textFill>
        </w:rPr>
      </w:pPr>
    </w:p>
    <w:p w14:paraId="3132C3CA">
      <w:pPr>
        <w:spacing w:line="360" w:lineRule="auto"/>
        <w:jc w:val="center"/>
        <w:rPr>
          <w:rFonts w:ascii="Garamond" w:hAnsi="Garamond"/>
          <w:b/>
          <w:bCs/>
          <w:snapToGrid w:val="0"/>
          <w:color w:val="000000" w:themeColor="text1"/>
          <w:kern w:val="0"/>
          <w:sz w:val="32"/>
          <w:highlight w:val="none"/>
          <w14:textFill>
            <w14:solidFill>
              <w14:schemeClr w14:val="tx1"/>
            </w14:solidFill>
          </w14:textFill>
        </w:rPr>
      </w:pPr>
    </w:p>
    <w:p w14:paraId="070570A6">
      <w:pPr>
        <w:spacing w:line="360" w:lineRule="auto"/>
        <w:jc w:val="center"/>
        <w:rPr>
          <w:rFonts w:ascii="Garamond" w:hAnsi="Garamond"/>
          <w:b/>
          <w:bCs/>
          <w:snapToGrid w:val="0"/>
          <w:color w:val="000000" w:themeColor="text1"/>
          <w:kern w:val="0"/>
          <w:sz w:val="32"/>
          <w:highlight w:val="none"/>
          <w14:textFill>
            <w14:solidFill>
              <w14:schemeClr w14:val="tx1"/>
            </w14:solidFill>
          </w14:textFill>
        </w:rPr>
      </w:pPr>
    </w:p>
    <w:p w14:paraId="1910E48D">
      <w:pPr>
        <w:spacing w:line="360" w:lineRule="auto"/>
        <w:rPr>
          <w:rFonts w:ascii="Garamond" w:hAnsi="Garamond"/>
          <w:color w:val="000000" w:themeColor="text1"/>
          <w:szCs w:val="21"/>
          <w:highlight w:val="none"/>
          <w14:textFill>
            <w14:solidFill>
              <w14:schemeClr w14:val="tx1"/>
            </w14:solidFill>
          </w14:textFill>
        </w:rPr>
      </w:pPr>
    </w:p>
    <w:sectPr>
      <w:footerReference r:id="rId11" w:type="even"/>
      <w:pgSz w:w="11906" w:h="16838"/>
      <w:pgMar w:top="1417" w:right="1247" w:bottom="1417" w:left="1417" w:header="851" w:footer="680" w:gutter="0"/>
      <w:pgNumType w:fmt="decimal"/>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文鼎CS书宋二">
    <w:altName w:val="宋体"/>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隶书">
    <w:panose1 w:val="02010509060101010101"/>
    <w:charset w:val="86"/>
    <w:family w:val="modern"/>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Garamond">
    <w:panose1 w:val="02020404030301010803"/>
    <w:charset w:val="00"/>
    <w:family w:val="roman"/>
    <w:pitch w:val="default"/>
    <w:sig w:usb0="00000287" w:usb1="00000000" w:usb2="00000000" w:usb3="00000000" w:csb0="0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D2075">
    <w:pP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3FD59">
    <w:pPr>
      <w:pStyle w:val="2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D2CA9">
    <w:pPr>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A014">
    <w:pPr>
      <w:jc w:val="cente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078655">
                          <w:pPr>
                            <w:pStyle w:val="27"/>
                          </w:pPr>
                          <w:r>
                            <w:fldChar w:fldCharType="begin"/>
                          </w:r>
                          <w:r>
                            <w:instrText xml:space="preserve"> PAGE  \* MERGEFORMAT </w:instrText>
                          </w:r>
                          <w:r>
                            <w:fldChar w:fldCharType="separate"/>
                          </w:r>
                          <w:r>
                            <w:t>３</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C078655">
                    <w:pPr>
                      <w:pStyle w:val="27"/>
                    </w:pPr>
                    <w:r>
                      <w:fldChar w:fldCharType="begin"/>
                    </w:r>
                    <w:r>
                      <w:instrText xml:space="preserve"> PAGE  \* MERGEFORMAT </w:instrText>
                    </w:r>
                    <w:r>
                      <w:fldChar w:fldCharType="separate"/>
                    </w:r>
                    <w:r>
                      <w:t>３</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1B2E6">
    <w:pPr>
      <w:pStyle w:val="27"/>
      <w:framePr w:wrap="around" w:vAnchor="text" w:hAnchor="margin" w:xAlign="center" w:y="1"/>
      <w:rPr>
        <w:rStyle w:val="51"/>
      </w:rPr>
    </w:pPr>
    <w:r>
      <w:fldChar w:fldCharType="begin"/>
    </w:r>
    <w:r>
      <w:rPr>
        <w:rStyle w:val="51"/>
      </w:rPr>
      <w:instrText xml:space="preserve">PAGE  </w:instrText>
    </w:r>
    <w:r>
      <w:fldChar w:fldCharType="end"/>
    </w:r>
  </w:p>
  <w:p w14:paraId="3DBA93E9">
    <w:pPr>
      <w:pStyle w:val="27"/>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C9DB32">
    <w:pPr>
      <w:pStyle w:val="27"/>
      <w:framePr w:wrap="around" w:vAnchor="text" w:hAnchor="margin" w:xAlign="right" w:y="1"/>
      <w:rPr>
        <w:rStyle w:val="51"/>
      </w:rPr>
    </w:pPr>
    <w:r>
      <w:fldChar w:fldCharType="begin"/>
    </w:r>
    <w:r>
      <w:rPr>
        <w:rStyle w:val="51"/>
      </w:rPr>
      <w:instrText xml:space="preserve">PAGE  </w:instrText>
    </w:r>
    <w:r>
      <w:fldChar w:fldCharType="end"/>
    </w:r>
  </w:p>
  <w:p w14:paraId="42CFBA9C">
    <w:pPr>
      <w:pStyle w:val="2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4693BA">
    <w:pPr>
      <w:pStyle w:val="27"/>
      <w:framePr w:wrap="around" w:vAnchor="text" w:hAnchor="margin" w:xAlign="right" w:y="1"/>
      <w:rPr>
        <w:rStyle w:val="51"/>
      </w:rPr>
    </w:pPr>
    <w:r>
      <w:fldChar w:fldCharType="begin"/>
    </w:r>
    <w:r>
      <w:rPr>
        <w:rStyle w:val="51"/>
      </w:rPr>
      <w:instrText xml:space="preserve">PAGE  </w:instrText>
    </w:r>
    <w:r>
      <w:fldChar w:fldCharType="end"/>
    </w:r>
  </w:p>
  <w:p w14:paraId="3B99D86A">
    <w:pPr>
      <w:pStyle w:val="2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0A97E2">
    <w:pPr>
      <w:spacing w:line="480" w:lineRule="auto"/>
      <w:ind w:right="-27" w:rightChars="-13"/>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77C22">
    <w:pPr>
      <w:pStyle w:val="2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9D983E"/>
    <w:multiLevelType w:val="singleLevel"/>
    <w:tmpl w:val="879D983E"/>
    <w:lvl w:ilvl="0" w:tentative="0">
      <w:start w:val="1"/>
      <w:numFmt w:val="chineseCounting"/>
      <w:suff w:val="space"/>
      <w:lvlText w:val="%1、"/>
      <w:lvlJc w:val="left"/>
      <w:rPr>
        <w:rFonts w:hint="eastAsia"/>
      </w:rPr>
    </w:lvl>
  </w:abstractNum>
  <w:abstractNum w:abstractNumId="1">
    <w:nsid w:val="99DCA899"/>
    <w:multiLevelType w:val="singleLevel"/>
    <w:tmpl w:val="99DCA899"/>
    <w:lvl w:ilvl="0" w:tentative="0">
      <w:start w:val="5"/>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5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xYjE5YzQ2MTdmYjkyY2JmYzMxNDliNmQxYjNjMGIifQ=="/>
  </w:docVars>
  <w:rsids>
    <w:rsidRoot w:val="00172A27"/>
    <w:rsid w:val="0000039B"/>
    <w:rsid w:val="00000B36"/>
    <w:rsid w:val="00001AF8"/>
    <w:rsid w:val="000029C0"/>
    <w:rsid w:val="000040B1"/>
    <w:rsid w:val="00004836"/>
    <w:rsid w:val="0000492D"/>
    <w:rsid w:val="0000572D"/>
    <w:rsid w:val="0000726E"/>
    <w:rsid w:val="0000732D"/>
    <w:rsid w:val="00007362"/>
    <w:rsid w:val="00012678"/>
    <w:rsid w:val="000142A2"/>
    <w:rsid w:val="00015513"/>
    <w:rsid w:val="00017346"/>
    <w:rsid w:val="00017C44"/>
    <w:rsid w:val="000218A8"/>
    <w:rsid w:val="00021A95"/>
    <w:rsid w:val="0002248C"/>
    <w:rsid w:val="000237DA"/>
    <w:rsid w:val="00023BC8"/>
    <w:rsid w:val="00023C5F"/>
    <w:rsid w:val="00023F2F"/>
    <w:rsid w:val="000252B1"/>
    <w:rsid w:val="00026EE9"/>
    <w:rsid w:val="0003072E"/>
    <w:rsid w:val="000307C9"/>
    <w:rsid w:val="00032369"/>
    <w:rsid w:val="00032FEC"/>
    <w:rsid w:val="00033B53"/>
    <w:rsid w:val="000366D2"/>
    <w:rsid w:val="00037CAD"/>
    <w:rsid w:val="00041550"/>
    <w:rsid w:val="000439C2"/>
    <w:rsid w:val="00043B9F"/>
    <w:rsid w:val="00044F74"/>
    <w:rsid w:val="00053B3F"/>
    <w:rsid w:val="00055CB5"/>
    <w:rsid w:val="00056B5A"/>
    <w:rsid w:val="00057893"/>
    <w:rsid w:val="00057F6B"/>
    <w:rsid w:val="0006067C"/>
    <w:rsid w:val="00060758"/>
    <w:rsid w:val="00061FE7"/>
    <w:rsid w:val="0006261A"/>
    <w:rsid w:val="000629A6"/>
    <w:rsid w:val="00066109"/>
    <w:rsid w:val="00066524"/>
    <w:rsid w:val="00070024"/>
    <w:rsid w:val="000741E5"/>
    <w:rsid w:val="00074567"/>
    <w:rsid w:val="0007512E"/>
    <w:rsid w:val="00075873"/>
    <w:rsid w:val="00085AB9"/>
    <w:rsid w:val="00086405"/>
    <w:rsid w:val="00092B89"/>
    <w:rsid w:val="000943B4"/>
    <w:rsid w:val="00094580"/>
    <w:rsid w:val="000945D6"/>
    <w:rsid w:val="000949E1"/>
    <w:rsid w:val="00095054"/>
    <w:rsid w:val="00096532"/>
    <w:rsid w:val="00097AB9"/>
    <w:rsid w:val="000A00B0"/>
    <w:rsid w:val="000A08D4"/>
    <w:rsid w:val="000A191C"/>
    <w:rsid w:val="000A2227"/>
    <w:rsid w:val="000A3598"/>
    <w:rsid w:val="000A4621"/>
    <w:rsid w:val="000A5B8A"/>
    <w:rsid w:val="000A69B0"/>
    <w:rsid w:val="000A7572"/>
    <w:rsid w:val="000A78C3"/>
    <w:rsid w:val="000B3528"/>
    <w:rsid w:val="000B4428"/>
    <w:rsid w:val="000B710A"/>
    <w:rsid w:val="000C09D0"/>
    <w:rsid w:val="000C48AE"/>
    <w:rsid w:val="000C4B92"/>
    <w:rsid w:val="000C4B96"/>
    <w:rsid w:val="000C5F51"/>
    <w:rsid w:val="000C69FC"/>
    <w:rsid w:val="000D10BB"/>
    <w:rsid w:val="000D2726"/>
    <w:rsid w:val="000D2C60"/>
    <w:rsid w:val="000D489A"/>
    <w:rsid w:val="000D51EE"/>
    <w:rsid w:val="000D531B"/>
    <w:rsid w:val="000D5FF5"/>
    <w:rsid w:val="000D67CD"/>
    <w:rsid w:val="000E0000"/>
    <w:rsid w:val="000E170E"/>
    <w:rsid w:val="000E2329"/>
    <w:rsid w:val="000E425D"/>
    <w:rsid w:val="000E69CE"/>
    <w:rsid w:val="000F069C"/>
    <w:rsid w:val="000F2CC9"/>
    <w:rsid w:val="000F2E67"/>
    <w:rsid w:val="000F2F19"/>
    <w:rsid w:val="000F59C9"/>
    <w:rsid w:val="000F7FD4"/>
    <w:rsid w:val="00100EF2"/>
    <w:rsid w:val="0010263A"/>
    <w:rsid w:val="00102748"/>
    <w:rsid w:val="00103999"/>
    <w:rsid w:val="001071B1"/>
    <w:rsid w:val="0011189D"/>
    <w:rsid w:val="00111FFC"/>
    <w:rsid w:val="001121FE"/>
    <w:rsid w:val="00114354"/>
    <w:rsid w:val="0011475A"/>
    <w:rsid w:val="0011796B"/>
    <w:rsid w:val="00121F17"/>
    <w:rsid w:val="0012407D"/>
    <w:rsid w:val="00124E31"/>
    <w:rsid w:val="00125010"/>
    <w:rsid w:val="0012597E"/>
    <w:rsid w:val="00125D4D"/>
    <w:rsid w:val="00130449"/>
    <w:rsid w:val="001306E6"/>
    <w:rsid w:val="00130FDC"/>
    <w:rsid w:val="00131A4B"/>
    <w:rsid w:val="00131D9A"/>
    <w:rsid w:val="00132C4D"/>
    <w:rsid w:val="00134898"/>
    <w:rsid w:val="00135CC2"/>
    <w:rsid w:val="00136DA5"/>
    <w:rsid w:val="00137561"/>
    <w:rsid w:val="00140397"/>
    <w:rsid w:val="00141360"/>
    <w:rsid w:val="00143D0B"/>
    <w:rsid w:val="00144236"/>
    <w:rsid w:val="00146DA8"/>
    <w:rsid w:val="001518AE"/>
    <w:rsid w:val="001535C4"/>
    <w:rsid w:val="00153912"/>
    <w:rsid w:val="00154EE4"/>
    <w:rsid w:val="00155BB5"/>
    <w:rsid w:val="001619CB"/>
    <w:rsid w:val="001624B0"/>
    <w:rsid w:val="001626FF"/>
    <w:rsid w:val="00164420"/>
    <w:rsid w:val="0016479E"/>
    <w:rsid w:val="00165553"/>
    <w:rsid w:val="00165D45"/>
    <w:rsid w:val="00166936"/>
    <w:rsid w:val="0016756D"/>
    <w:rsid w:val="0017296C"/>
    <w:rsid w:val="00172A27"/>
    <w:rsid w:val="0017395B"/>
    <w:rsid w:val="00175308"/>
    <w:rsid w:val="00177F6A"/>
    <w:rsid w:val="00177F71"/>
    <w:rsid w:val="001807F9"/>
    <w:rsid w:val="00180E86"/>
    <w:rsid w:val="00181A1C"/>
    <w:rsid w:val="00182E57"/>
    <w:rsid w:val="00183172"/>
    <w:rsid w:val="00183357"/>
    <w:rsid w:val="0018414D"/>
    <w:rsid w:val="00184B4E"/>
    <w:rsid w:val="00185AEE"/>
    <w:rsid w:val="001867A1"/>
    <w:rsid w:val="00187249"/>
    <w:rsid w:val="001877FE"/>
    <w:rsid w:val="00191405"/>
    <w:rsid w:val="00191DFD"/>
    <w:rsid w:val="00191FC5"/>
    <w:rsid w:val="00192532"/>
    <w:rsid w:val="001A4FA0"/>
    <w:rsid w:val="001A5064"/>
    <w:rsid w:val="001A6439"/>
    <w:rsid w:val="001A64F9"/>
    <w:rsid w:val="001A7593"/>
    <w:rsid w:val="001B1C24"/>
    <w:rsid w:val="001B2649"/>
    <w:rsid w:val="001B30A1"/>
    <w:rsid w:val="001B41B6"/>
    <w:rsid w:val="001B54F7"/>
    <w:rsid w:val="001B55FC"/>
    <w:rsid w:val="001B6A4E"/>
    <w:rsid w:val="001C1D33"/>
    <w:rsid w:val="001C2EF0"/>
    <w:rsid w:val="001C4278"/>
    <w:rsid w:val="001C6076"/>
    <w:rsid w:val="001C6751"/>
    <w:rsid w:val="001D2EAD"/>
    <w:rsid w:val="001D3AAE"/>
    <w:rsid w:val="001D46A4"/>
    <w:rsid w:val="001D5646"/>
    <w:rsid w:val="001D6806"/>
    <w:rsid w:val="001D6EF8"/>
    <w:rsid w:val="001D74AF"/>
    <w:rsid w:val="001E047F"/>
    <w:rsid w:val="001E095A"/>
    <w:rsid w:val="001E0E47"/>
    <w:rsid w:val="001E3611"/>
    <w:rsid w:val="001E4237"/>
    <w:rsid w:val="001E5C9A"/>
    <w:rsid w:val="001E787C"/>
    <w:rsid w:val="001F067D"/>
    <w:rsid w:val="001F1C0E"/>
    <w:rsid w:val="001F251C"/>
    <w:rsid w:val="001F28D4"/>
    <w:rsid w:val="001F2FD3"/>
    <w:rsid w:val="001F6110"/>
    <w:rsid w:val="001F6BBE"/>
    <w:rsid w:val="001F79D2"/>
    <w:rsid w:val="00201098"/>
    <w:rsid w:val="002027CC"/>
    <w:rsid w:val="0020518D"/>
    <w:rsid w:val="002058E6"/>
    <w:rsid w:val="00207EE9"/>
    <w:rsid w:val="0021022E"/>
    <w:rsid w:val="00210B32"/>
    <w:rsid w:val="0021136B"/>
    <w:rsid w:val="00212923"/>
    <w:rsid w:val="0021552D"/>
    <w:rsid w:val="00216C08"/>
    <w:rsid w:val="00216C67"/>
    <w:rsid w:val="00217509"/>
    <w:rsid w:val="00217A64"/>
    <w:rsid w:val="00220244"/>
    <w:rsid w:val="00220972"/>
    <w:rsid w:val="00221E07"/>
    <w:rsid w:val="002229FF"/>
    <w:rsid w:val="00222D99"/>
    <w:rsid w:val="00222D9B"/>
    <w:rsid w:val="00225586"/>
    <w:rsid w:val="00225F3A"/>
    <w:rsid w:val="002260C9"/>
    <w:rsid w:val="00230C2D"/>
    <w:rsid w:val="002353E5"/>
    <w:rsid w:val="002370E7"/>
    <w:rsid w:val="00242F8A"/>
    <w:rsid w:val="00242FCD"/>
    <w:rsid w:val="002432B9"/>
    <w:rsid w:val="00243818"/>
    <w:rsid w:val="00243F3C"/>
    <w:rsid w:val="00244624"/>
    <w:rsid w:val="0024623A"/>
    <w:rsid w:val="00250008"/>
    <w:rsid w:val="002538C5"/>
    <w:rsid w:val="00255EC9"/>
    <w:rsid w:val="00256ABB"/>
    <w:rsid w:val="00256BDF"/>
    <w:rsid w:val="00257AFF"/>
    <w:rsid w:val="00262A7D"/>
    <w:rsid w:val="0026324B"/>
    <w:rsid w:val="00263811"/>
    <w:rsid w:val="00263B38"/>
    <w:rsid w:val="00264998"/>
    <w:rsid w:val="00264D82"/>
    <w:rsid w:val="00265356"/>
    <w:rsid w:val="00270DEB"/>
    <w:rsid w:val="00271B07"/>
    <w:rsid w:val="00275660"/>
    <w:rsid w:val="002779F3"/>
    <w:rsid w:val="002808AA"/>
    <w:rsid w:val="002808F4"/>
    <w:rsid w:val="0028313A"/>
    <w:rsid w:val="0028372C"/>
    <w:rsid w:val="00284479"/>
    <w:rsid w:val="0028775A"/>
    <w:rsid w:val="002944EB"/>
    <w:rsid w:val="00294C76"/>
    <w:rsid w:val="00296B82"/>
    <w:rsid w:val="00297414"/>
    <w:rsid w:val="002A0BE2"/>
    <w:rsid w:val="002A0FE6"/>
    <w:rsid w:val="002A1776"/>
    <w:rsid w:val="002A3236"/>
    <w:rsid w:val="002A5317"/>
    <w:rsid w:val="002A689C"/>
    <w:rsid w:val="002A69C7"/>
    <w:rsid w:val="002A6A62"/>
    <w:rsid w:val="002A7541"/>
    <w:rsid w:val="002B010F"/>
    <w:rsid w:val="002B0836"/>
    <w:rsid w:val="002B1EA6"/>
    <w:rsid w:val="002B2717"/>
    <w:rsid w:val="002B3395"/>
    <w:rsid w:val="002B5042"/>
    <w:rsid w:val="002B6182"/>
    <w:rsid w:val="002B66FF"/>
    <w:rsid w:val="002B747A"/>
    <w:rsid w:val="002C0866"/>
    <w:rsid w:val="002C0D87"/>
    <w:rsid w:val="002C1DE8"/>
    <w:rsid w:val="002C212E"/>
    <w:rsid w:val="002C52CE"/>
    <w:rsid w:val="002C58E5"/>
    <w:rsid w:val="002D063C"/>
    <w:rsid w:val="002D074F"/>
    <w:rsid w:val="002D4C90"/>
    <w:rsid w:val="002D5D38"/>
    <w:rsid w:val="002D6B1C"/>
    <w:rsid w:val="002D78E7"/>
    <w:rsid w:val="002D7B41"/>
    <w:rsid w:val="002E0E8A"/>
    <w:rsid w:val="002E2344"/>
    <w:rsid w:val="002E328F"/>
    <w:rsid w:val="002E404E"/>
    <w:rsid w:val="002E4A25"/>
    <w:rsid w:val="002E5359"/>
    <w:rsid w:val="002E584A"/>
    <w:rsid w:val="002F007B"/>
    <w:rsid w:val="002F1F1E"/>
    <w:rsid w:val="002F35BE"/>
    <w:rsid w:val="002F51F1"/>
    <w:rsid w:val="002F5549"/>
    <w:rsid w:val="002F5956"/>
    <w:rsid w:val="002F5BE8"/>
    <w:rsid w:val="002F7979"/>
    <w:rsid w:val="00300C32"/>
    <w:rsid w:val="003038D3"/>
    <w:rsid w:val="003046B6"/>
    <w:rsid w:val="0030610D"/>
    <w:rsid w:val="0030640E"/>
    <w:rsid w:val="0030664A"/>
    <w:rsid w:val="00307B61"/>
    <w:rsid w:val="00310C45"/>
    <w:rsid w:val="00310E36"/>
    <w:rsid w:val="00311A4A"/>
    <w:rsid w:val="0031245A"/>
    <w:rsid w:val="00312A71"/>
    <w:rsid w:val="00313E02"/>
    <w:rsid w:val="00315449"/>
    <w:rsid w:val="00315E83"/>
    <w:rsid w:val="00317FAB"/>
    <w:rsid w:val="0032053D"/>
    <w:rsid w:val="003230C5"/>
    <w:rsid w:val="00323886"/>
    <w:rsid w:val="00325677"/>
    <w:rsid w:val="003258F2"/>
    <w:rsid w:val="00326A22"/>
    <w:rsid w:val="00326A29"/>
    <w:rsid w:val="00330A09"/>
    <w:rsid w:val="003312F7"/>
    <w:rsid w:val="00341171"/>
    <w:rsid w:val="00343045"/>
    <w:rsid w:val="00343572"/>
    <w:rsid w:val="00344F60"/>
    <w:rsid w:val="00344FE8"/>
    <w:rsid w:val="0034559F"/>
    <w:rsid w:val="00345AA9"/>
    <w:rsid w:val="00347686"/>
    <w:rsid w:val="00347907"/>
    <w:rsid w:val="0035115B"/>
    <w:rsid w:val="00351F5A"/>
    <w:rsid w:val="003523A1"/>
    <w:rsid w:val="003544BF"/>
    <w:rsid w:val="00356CE8"/>
    <w:rsid w:val="00357110"/>
    <w:rsid w:val="0036068A"/>
    <w:rsid w:val="00361819"/>
    <w:rsid w:val="003644B4"/>
    <w:rsid w:val="00365779"/>
    <w:rsid w:val="00367EF2"/>
    <w:rsid w:val="00372ED9"/>
    <w:rsid w:val="00375A66"/>
    <w:rsid w:val="00377194"/>
    <w:rsid w:val="0038136B"/>
    <w:rsid w:val="003828F0"/>
    <w:rsid w:val="00382E4C"/>
    <w:rsid w:val="00384653"/>
    <w:rsid w:val="003851CC"/>
    <w:rsid w:val="00385F32"/>
    <w:rsid w:val="00386614"/>
    <w:rsid w:val="003876B4"/>
    <w:rsid w:val="00390411"/>
    <w:rsid w:val="00390459"/>
    <w:rsid w:val="00391F97"/>
    <w:rsid w:val="00392F3E"/>
    <w:rsid w:val="003945A2"/>
    <w:rsid w:val="00395B4C"/>
    <w:rsid w:val="00396AAA"/>
    <w:rsid w:val="00396E89"/>
    <w:rsid w:val="0039742C"/>
    <w:rsid w:val="003A185F"/>
    <w:rsid w:val="003A208E"/>
    <w:rsid w:val="003A4549"/>
    <w:rsid w:val="003A6D05"/>
    <w:rsid w:val="003B5F34"/>
    <w:rsid w:val="003B7064"/>
    <w:rsid w:val="003B7642"/>
    <w:rsid w:val="003C326B"/>
    <w:rsid w:val="003C5558"/>
    <w:rsid w:val="003D015D"/>
    <w:rsid w:val="003D0577"/>
    <w:rsid w:val="003D0B06"/>
    <w:rsid w:val="003D0F8A"/>
    <w:rsid w:val="003D3C1C"/>
    <w:rsid w:val="003D3D48"/>
    <w:rsid w:val="003D4558"/>
    <w:rsid w:val="003D56F5"/>
    <w:rsid w:val="003D643C"/>
    <w:rsid w:val="003D72C3"/>
    <w:rsid w:val="003E0DC3"/>
    <w:rsid w:val="003E35BB"/>
    <w:rsid w:val="003E3E4E"/>
    <w:rsid w:val="003E73BE"/>
    <w:rsid w:val="003E781F"/>
    <w:rsid w:val="003F3EFF"/>
    <w:rsid w:val="003F438C"/>
    <w:rsid w:val="003F54AE"/>
    <w:rsid w:val="003F58CF"/>
    <w:rsid w:val="003F603E"/>
    <w:rsid w:val="003F7F58"/>
    <w:rsid w:val="00400063"/>
    <w:rsid w:val="004014D6"/>
    <w:rsid w:val="00403E1B"/>
    <w:rsid w:val="004052BB"/>
    <w:rsid w:val="004055FC"/>
    <w:rsid w:val="00411C73"/>
    <w:rsid w:val="00411DA6"/>
    <w:rsid w:val="00415661"/>
    <w:rsid w:val="00415D27"/>
    <w:rsid w:val="00420A08"/>
    <w:rsid w:val="00421D53"/>
    <w:rsid w:val="004221F5"/>
    <w:rsid w:val="004239EC"/>
    <w:rsid w:val="00424EA3"/>
    <w:rsid w:val="00426EB0"/>
    <w:rsid w:val="0042724F"/>
    <w:rsid w:val="0043084C"/>
    <w:rsid w:val="00430922"/>
    <w:rsid w:val="00431F86"/>
    <w:rsid w:val="0043225C"/>
    <w:rsid w:val="0043319B"/>
    <w:rsid w:val="00433F85"/>
    <w:rsid w:val="004350D0"/>
    <w:rsid w:val="004355D0"/>
    <w:rsid w:val="00437242"/>
    <w:rsid w:val="00437D4F"/>
    <w:rsid w:val="00437F67"/>
    <w:rsid w:val="00440B31"/>
    <w:rsid w:val="00441D27"/>
    <w:rsid w:val="004440F9"/>
    <w:rsid w:val="00444BDC"/>
    <w:rsid w:val="00446C56"/>
    <w:rsid w:val="0044715A"/>
    <w:rsid w:val="00450FF1"/>
    <w:rsid w:val="00452517"/>
    <w:rsid w:val="004528C2"/>
    <w:rsid w:val="00454078"/>
    <w:rsid w:val="0045446D"/>
    <w:rsid w:val="004556B0"/>
    <w:rsid w:val="004579FB"/>
    <w:rsid w:val="004626B2"/>
    <w:rsid w:val="00464504"/>
    <w:rsid w:val="00465AB1"/>
    <w:rsid w:val="00470EB4"/>
    <w:rsid w:val="00471DC1"/>
    <w:rsid w:val="0047350E"/>
    <w:rsid w:val="00474D46"/>
    <w:rsid w:val="00481788"/>
    <w:rsid w:val="00481D54"/>
    <w:rsid w:val="00482626"/>
    <w:rsid w:val="00484228"/>
    <w:rsid w:val="00484708"/>
    <w:rsid w:val="004859E2"/>
    <w:rsid w:val="00485BB1"/>
    <w:rsid w:val="00486087"/>
    <w:rsid w:val="00487B8C"/>
    <w:rsid w:val="00491A82"/>
    <w:rsid w:val="00492258"/>
    <w:rsid w:val="004A13A8"/>
    <w:rsid w:val="004A4253"/>
    <w:rsid w:val="004A55D2"/>
    <w:rsid w:val="004A5DEA"/>
    <w:rsid w:val="004A728F"/>
    <w:rsid w:val="004A73CD"/>
    <w:rsid w:val="004B35E9"/>
    <w:rsid w:val="004B588D"/>
    <w:rsid w:val="004C06AB"/>
    <w:rsid w:val="004C6C63"/>
    <w:rsid w:val="004D0A97"/>
    <w:rsid w:val="004D0C72"/>
    <w:rsid w:val="004D2767"/>
    <w:rsid w:val="004D2997"/>
    <w:rsid w:val="004D2B11"/>
    <w:rsid w:val="004D398D"/>
    <w:rsid w:val="004D45CD"/>
    <w:rsid w:val="004D54F9"/>
    <w:rsid w:val="004D555F"/>
    <w:rsid w:val="004D77F2"/>
    <w:rsid w:val="004E23A9"/>
    <w:rsid w:val="004E2963"/>
    <w:rsid w:val="004E2A1A"/>
    <w:rsid w:val="004E44BD"/>
    <w:rsid w:val="004E4A81"/>
    <w:rsid w:val="004E6856"/>
    <w:rsid w:val="004E77F6"/>
    <w:rsid w:val="004F07DC"/>
    <w:rsid w:val="004F164A"/>
    <w:rsid w:val="004F2760"/>
    <w:rsid w:val="004F4ED6"/>
    <w:rsid w:val="004F750C"/>
    <w:rsid w:val="004F7542"/>
    <w:rsid w:val="005008BA"/>
    <w:rsid w:val="00501A4A"/>
    <w:rsid w:val="00501DC5"/>
    <w:rsid w:val="00505A65"/>
    <w:rsid w:val="00506307"/>
    <w:rsid w:val="00507662"/>
    <w:rsid w:val="005109D0"/>
    <w:rsid w:val="00512ADB"/>
    <w:rsid w:val="005155EC"/>
    <w:rsid w:val="0051583F"/>
    <w:rsid w:val="005174E7"/>
    <w:rsid w:val="00520110"/>
    <w:rsid w:val="00523A22"/>
    <w:rsid w:val="0052499D"/>
    <w:rsid w:val="005252C1"/>
    <w:rsid w:val="005265A6"/>
    <w:rsid w:val="005265F8"/>
    <w:rsid w:val="00526ED8"/>
    <w:rsid w:val="0053602D"/>
    <w:rsid w:val="0053607B"/>
    <w:rsid w:val="005366B5"/>
    <w:rsid w:val="00542FA7"/>
    <w:rsid w:val="00543E1D"/>
    <w:rsid w:val="005447A5"/>
    <w:rsid w:val="00544E3C"/>
    <w:rsid w:val="00546228"/>
    <w:rsid w:val="00546853"/>
    <w:rsid w:val="00547199"/>
    <w:rsid w:val="0055069D"/>
    <w:rsid w:val="00555A66"/>
    <w:rsid w:val="0055625D"/>
    <w:rsid w:val="00561727"/>
    <w:rsid w:val="005617CD"/>
    <w:rsid w:val="005649ED"/>
    <w:rsid w:val="005662DC"/>
    <w:rsid w:val="00567E17"/>
    <w:rsid w:val="005708E3"/>
    <w:rsid w:val="00572ECA"/>
    <w:rsid w:val="005749CA"/>
    <w:rsid w:val="0057501E"/>
    <w:rsid w:val="00575457"/>
    <w:rsid w:val="005756D7"/>
    <w:rsid w:val="00575F2C"/>
    <w:rsid w:val="00577525"/>
    <w:rsid w:val="00577598"/>
    <w:rsid w:val="005807D5"/>
    <w:rsid w:val="00581219"/>
    <w:rsid w:val="00581280"/>
    <w:rsid w:val="00581911"/>
    <w:rsid w:val="00582B85"/>
    <w:rsid w:val="00582F15"/>
    <w:rsid w:val="00585448"/>
    <w:rsid w:val="00585FA1"/>
    <w:rsid w:val="0059051F"/>
    <w:rsid w:val="005916FB"/>
    <w:rsid w:val="00591F3A"/>
    <w:rsid w:val="00593631"/>
    <w:rsid w:val="0059383E"/>
    <w:rsid w:val="00594AB0"/>
    <w:rsid w:val="00596726"/>
    <w:rsid w:val="00596F14"/>
    <w:rsid w:val="005A19B8"/>
    <w:rsid w:val="005A318D"/>
    <w:rsid w:val="005A42FF"/>
    <w:rsid w:val="005A50FF"/>
    <w:rsid w:val="005A7307"/>
    <w:rsid w:val="005A7960"/>
    <w:rsid w:val="005B1E24"/>
    <w:rsid w:val="005B1FB5"/>
    <w:rsid w:val="005B3FD3"/>
    <w:rsid w:val="005B4EBE"/>
    <w:rsid w:val="005B5F0B"/>
    <w:rsid w:val="005C1698"/>
    <w:rsid w:val="005C1B07"/>
    <w:rsid w:val="005C1F51"/>
    <w:rsid w:val="005C2E0C"/>
    <w:rsid w:val="005C3282"/>
    <w:rsid w:val="005C4B0C"/>
    <w:rsid w:val="005C75F8"/>
    <w:rsid w:val="005C7E65"/>
    <w:rsid w:val="005D00A4"/>
    <w:rsid w:val="005D0B18"/>
    <w:rsid w:val="005D2351"/>
    <w:rsid w:val="005D39AD"/>
    <w:rsid w:val="005D4A72"/>
    <w:rsid w:val="005D52B7"/>
    <w:rsid w:val="005D5FD1"/>
    <w:rsid w:val="005D661D"/>
    <w:rsid w:val="005E1BF1"/>
    <w:rsid w:val="005E378E"/>
    <w:rsid w:val="005E5BDC"/>
    <w:rsid w:val="005E5EC7"/>
    <w:rsid w:val="005E61B9"/>
    <w:rsid w:val="005E6809"/>
    <w:rsid w:val="005E7897"/>
    <w:rsid w:val="005F3078"/>
    <w:rsid w:val="005F38FF"/>
    <w:rsid w:val="005F5379"/>
    <w:rsid w:val="005F58D0"/>
    <w:rsid w:val="005F7437"/>
    <w:rsid w:val="005F7454"/>
    <w:rsid w:val="00600259"/>
    <w:rsid w:val="0060032F"/>
    <w:rsid w:val="00600D1D"/>
    <w:rsid w:val="00601DE6"/>
    <w:rsid w:val="00602C07"/>
    <w:rsid w:val="00602FFA"/>
    <w:rsid w:val="0060332F"/>
    <w:rsid w:val="00603ED8"/>
    <w:rsid w:val="006048C9"/>
    <w:rsid w:val="006064A2"/>
    <w:rsid w:val="006065EB"/>
    <w:rsid w:val="006076A1"/>
    <w:rsid w:val="00607A10"/>
    <w:rsid w:val="0061132F"/>
    <w:rsid w:val="006115FA"/>
    <w:rsid w:val="00612895"/>
    <w:rsid w:val="00612A68"/>
    <w:rsid w:val="00613565"/>
    <w:rsid w:val="00613B09"/>
    <w:rsid w:val="00614041"/>
    <w:rsid w:val="006140CE"/>
    <w:rsid w:val="00614FCC"/>
    <w:rsid w:val="00615169"/>
    <w:rsid w:val="00615419"/>
    <w:rsid w:val="00621425"/>
    <w:rsid w:val="006226DE"/>
    <w:rsid w:val="00624F93"/>
    <w:rsid w:val="00625F27"/>
    <w:rsid w:val="006274AE"/>
    <w:rsid w:val="00627A53"/>
    <w:rsid w:val="00627B15"/>
    <w:rsid w:val="00630BAF"/>
    <w:rsid w:val="0063351B"/>
    <w:rsid w:val="00633C4F"/>
    <w:rsid w:val="00634E32"/>
    <w:rsid w:val="006356CF"/>
    <w:rsid w:val="006359A2"/>
    <w:rsid w:val="00636C93"/>
    <w:rsid w:val="006407AF"/>
    <w:rsid w:val="00641835"/>
    <w:rsid w:val="006424B9"/>
    <w:rsid w:val="006424F5"/>
    <w:rsid w:val="00642861"/>
    <w:rsid w:val="0064418B"/>
    <w:rsid w:val="0064434C"/>
    <w:rsid w:val="00645E8B"/>
    <w:rsid w:val="00646B3D"/>
    <w:rsid w:val="006475F2"/>
    <w:rsid w:val="00650D87"/>
    <w:rsid w:val="00650FEC"/>
    <w:rsid w:val="00651432"/>
    <w:rsid w:val="00651EF2"/>
    <w:rsid w:val="006526F8"/>
    <w:rsid w:val="00654D29"/>
    <w:rsid w:val="006555A3"/>
    <w:rsid w:val="00661D3C"/>
    <w:rsid w:val="00661E9E"/>
    <w:rsid w:val="00662E9A"/>
    <w:rsid w:val="00665011"/>
    <w:rsid w:val="006653BC"/>
    <w:rsid w:val="00666B99"/>
    <w:rsid w:val="00667094"/>
    <w:rsid w:val="006672C7"/>
    <w:rsid w:val="00671514"/>
    <w:rsid w:val="006720B5"/>
    <w:rsid w:val="006723E4"/>
    <w:rsid w:val="00673898"/>
    <w:rsid w:val="00675EB2"/>
    <w:rsid w:val="0067691E"/>
    <w:rsid w:val="006773E1"/>
    <w:rsid w:val="00677812"/>
    <w:rsid w:val="00677832"/>
    <w:rsid w:val="00677FB5"/>
    <w:rsid w:val="00681B63"/>
    <w:rsid w:val="00683AA5"/>
    <w:rsid w:val="00684236"/>
    <w:rsid w:val="0068642A"/>
    <w:rsid w:val="0068665F"/>
    <w:rsid w:val="006902BD"/>
    <w:rsid w:val="0069239B"/>
    <w:rsid w:val="00692DAC"/>
    <w:rsid w:val="00693EA5"/>
    <w:rsid w:val="00694BB6"/>
    <w:rsid w:val="0069583E"/>
    <w:rsid w:val="00695BE6"/>
    <w:rsid w:val="00695FCF"/>
    <w:rsid w:val="0069695B"/>
    <w:rsid w:val="00696E4B"/>
    <w:rsid w:val="00697417"/>
    <w:rsid w:val="006A08A9"/>
    <w:rsid w:val="006A1CCF"/>
    <w:rsid w:val="006A1E9B"/>
    <w:rsid w:val="006A6972"/>
    <w:rsid w:val="006B12A8"/>
    <w:rsid w:val="006B1E24"/>
    <w:rsid w:val="006B4609"/>
    <w:rsid w:val="006B4E04"/>
    <w:rsid w:val="006C07F8"/>
    <w:rsid w:val="006C122B"/>
    <w:rsid w:val="006C2FF7"/>
    <w:rsid w:val="006C3E9F"/>
    <w:rsid w:val="006C5433"/>
    <w:rsid w:val="006C6E25"/>
    <w:rsid w:val="006C72AE"/>
    <w:rsid w:val="006D1CD9"/>
    <w:rsid w:val="006D205C"/>
    <w:rsid w:val="006D2896"/>
    <w:rsid w:val="006D3FF5"/>
    <w:rsid w:val="006D4F85"/>
    <w:rsid w:val="006D6605"/>
    <w:rsid w:val="006D69DB"/>
    <w:rsid w:val="006E0DB2"/>
    <w:rsid w:val="006E15A2"/>
    <w:rsid w:val="006E3150"/>
    <w:rsid w:val="006E3B23"/>
    <w:rsid w:val="006E41D2"/>
    <w:rsid w:val="006E7DB0"/>
    <w:rsid w:val="006F1F64"/>
    <w:rsid w:val="006F2A86"/>
    <w:rsid w:val="006F2E36"/>
    <w:rsid w:val="006F3BAB"/>
    <w:rsid w:val="006F4681"/>
    <w:rsid w:val="006F68DE"/>
    <w:rsid w:val="00700D00"/>
    <w:rsid w:val="00704328"/>
    <w:rsid w:val="00706187"/>
    <w:rsid w:val="00706261"/>
    <w:rsid w:val="007064EA"/>
    <w:rsid w:val="007071FF"/>
    <w:rsid w:val="00707713"/>
    <w:rsid w:val="00707C10"/>
    <w:rsid w:val="007106F1"/>
    <w:rsid w:val="00710DA3"/>
    <w:rsid w:val="007121E0"/>
    <w:rsid w:val="00715453"/>
    <w:rsid w:val="007157DF"/>
    <w:rsid w:val="007203CF"/>
    <w:rsid w:val="007204EF"/>
    <w:rsid w:val="00720DB4"/>
    <w:rsid w:val="00720EB7"/>
    <w:rsid w:val="00721704"/>
    <w:rsid w:val="007219FC"/>
    <w:rsid w:val="0072287A"/>
    <w:rsid w:val="00723D5B"/>
    <w:rsid w:val="00725C55"/>
    <w:rsid w:val="00725F79"/>
    <w:rsid w:val="007270B4"/>
    <w:rsid w:val="007277AF"/>
    <w:rsid w:val="007278A0"/>
    <w:rsid w:val="00730B7A"/>
    <w:rsid w:val="007311AF"/>
    <w:rsid w:val="0073177B"/>
    <w:rsid w:val="00735A9C"/>
    <w:rsid w:val="00742603"/>
    <w:rsid w:val="0074333D"/>
    <w:rsid w:val="00743650"/>
    <w:rsid w:val="00744659"/>
    <w:rsid w:val="00747FFE"/>
    <w:rsid w:val="00752FA7"/>
    <w:rsid w:val="0075391F"/>
    <w:rsid w:val="00753CC2"/>
    <w:rsid w:val="007556ED"/>
    <w:rsid w:val="00761F58"/>
    <w:rsid w:val="00762922"/>
    <w:rsid w:val="00763001"/>
    <w:rsid w:val="00763D8D"/>
    <w:rsid w:val="0076493E"/>
    <w:rsid w:val="0076586E"/>
    <w:rsid w:val="00765F72"/>
    <w:rsid w:val="007671D8"/>
    <w:rsid w:val="007703C7"/>
    <w:rsid w:val="0077047C"/>
    <w:rsid w:val="00771C74"/>
    <w:rsid w:val="007737CE"/>
    <w:rsid w:val="00774A09"/>
    <w:rsid w:val="007769F8"/>
    <w:rsid w:val="00776B1E"/>
    <w:rsid w:val="0078079D"/>
    <w:rsid w:val="00782C77"/>
    <w:rsid w:val="007831E2"/>
    <w:rsid w:val="007837A8"/>
    <w:rsid w:val="00784013"/>
    <w:rsid w:val="007856D0"/>
    <w:rsid w:val="00786649"/>
    <w:rsid w:val="007932C7"/>
    <w:rsid w:val="00793455"/>
    <w:rsid w:val="0079395E"/>
    <w:rsid w:val="00793B12"/>
    <w:rsid w:val="00797575"/>
    <w:rsid w:val="007A08EB"/>
    <w:rsid w:val="007A21D8"/>
    <w:rsid w:val="007A23B3"/>
    <w:rsid w:val="007A4FFC"/>
    <w:rsid w:val="007A58C4"/>
    <w:rsid w:val="007A62DA"/>
    <w:rsid w:val="007A6BCF"/>
    <w:rsid w:val="007A6FFE"/>
    <w:rsid w:val="007A76D6"/>
    <w:rsid w:val="007B11DD"/>
    <w:rsid w:val="007B18F3"/>
    <w:rsid w:val="007B1EF3"/>
    <w:rsid w:val="007B30DF"/>
    <w:rsid w:val="007B3177"/>
    <w:rsid w:val="007B385E"/>
    <w:rsid w:val="007B4E74"/>
    <w:rsid w:val="007B60D1"/>
    <w:rsid w:val="007B730F"/>
    <w:rsid w:val="007B7723"/>
    <w:rsid w:val="007C0BE1"/>
    <w:rsid w:val="007C3604"/>
    <w:rsid w:val="007C3C9E"/>
    <w:rsid w:val="007C5FAB"/>
    <w:rsid w:val="007D0C52"/>
    <w:rsid w:val="007D2411"/>
    <w:rsid w:val="007D36E7"/>
    <w:rsid w:val="007D3B60"/>
    <w:rsid w:val="007D4049"/>
    <w:rsid w:val="007D4FE0"/>
    <w:rsid w:val="007D6348"/>
    <w:rsid w:val="007D662F"/>
    <w:rsid w:val="007D6825"/>
    <w:rsid w:val="007E3EB3"/>
    <w:rsid w:val="007E4EDD"/>
    <w:rsid w:val="007E6CDD"/>
    <w:rsid w:val="007F058C"/>
    <w:rsid w:val="007F1AD8"/>
    <w:rsid w:val="007F2608"/>
    <w:rsid w:val="00802966"/>
    <w:rsid w:val="00803FC9"/>
    <w:rsid w:val="00803FF5"/>
    <w:rsid w:val="0080594E"/>
    <w:rsid w:val="008061B8"/>
    <w:rsid w:val="0080746C"/>
    <w:rsid w:val="008075C5"/>
    <w:rsid w:val="00807A1A"/>
    <w:rsid w:val="00810E87"/>
    <w:rsid w:val="008115E7"/>
    <w:rsid w:val="008119DC"/>
    <w:rsid w:val="00812187"/>
    <w:rsid w:val="00813C5B"/>
    <w:rsid w:val="00815A52"/>
    <w:rsid w:val="00817930"/>
    <w:rsid w:val="0082025D"/>
    <w:rsid w:val="008221C7"/>
    <w:rsid w:val="008235E1"/>
    <w:rsid w:val="00823A68"/>
    <w:rsid w:val="00827D49"/>
    <w:rsid w:val="00830C28"/>
    <w:rsid w:val="0083374A"/>
    <w:rsid w:val="008347F7"/>
    <w:rsid w:val="00835A6F"/>
    <w:rsid w:val="00837566"/>
    <w:rsid w:val="0084011A"/>
    <w:rsid w:val="0084484F"/>
    <w:rsid w:val="0084593A"/>
    <w:rsid w:val="00847198"/>
    <w:rsid w:val="00847383"/>
    <w:rsid w:val="008526D1"/>
    <w:rsid w:val="0085361F"/>
    <w:rsid w:val="008539C5"/>
    <w:rsid w:val="00854082"/>
    <w:rsid w:val="008540D1"/>
    <w:rsid w:val="008541F8"/>
    <w:rsid w:val="0085624E"/>
    <w:rsid w:val="0085640F"/>
    <w:rsid w:val="00856C6C"/>
    <w:rsid w:val="00860553"/>
    <w:rsid w:val="0086167B"/>
    <w:rsid w:val="00861685"/>
    <w:rsid w:val="008619EC"/>
    <w:rsid w:val="00861D35"/>
    <w:rsid w:val="008639E6"/>
    <w:rsid w:val="0086452B"/>
    <w:rsid w:val="00866639"/>
    <w:rsid w:val="008739E5"/>
    <w:rsid w:val="00874409"/>
    <w:rsid w:val="00875163"/>
    <w:rsid w:val="008765AB"/>
    <w:rsid w:val="00876DE6"/>
    <w:rsid w:val="00880000"/>
    <w:rsid w:val="00881824"/>
    <w:rsid w:val="00883568"/>
    <w:rsid w:val="008852D8"/>
    <w:rsid w:val="0088548C"/>
    <w:rsid w:val="00885C6E"/>
    <w:rsid w:val="00886A54"/>
    <w:rsid w:val="00887E2D"/>
    <w:rsid w:val="00890500"/>
    <w:rsid w:val="0089163A"/>
    <w:rsid w:val="008936F3"/>
    <w:rsid w:val="00893C3C"/>
    <w:rsid w:val="0089561B"/>
    <w:rsid w:val="00896035"/>
    <w:rsid w:val="008A0D5C"/>
    <w:rsid w:val="008A16D7"/>
    <w:rsid w:val="008A2886"/>
    <w:rsid w:val="008A2F30"/>
    <w:rsid w:val="008A31B4"/>
    <w:rsid w:val="008A6D8D"/>
    <w:rsid w:val="008A7A58"/>
    <w:rsid w:val="008B12F7"/>
    <w:rsid w:val="008B1DB6"/>
    <w:rsid w:val="008B2D57"/>
    <w:rsid w:val="008B39FA"/>
    <w:rsid w:val="008B41E0"/>
    <w:rsid w:val="008B5A55"/>
    <w:rsid w:val="008B604A"/>
    <w:rsid w:val="008B6906"/>
    <w:rsid w:val="008C031E"/>
    <w:rsid w:val="008C1833"/>
    <w:rsid w:val="008C47DA"/>
    <w:rsid w:val="008C5150"/>
    <w:rsid w:val="008C5299"/>
    <w:rsid w:val="008C5575"/>
    <w:rsid w:val="008C6D16"/>
    <w:rsid w:val="008D0A3E"/>
    <w:rsid w:val="008D11FE"/>
    <w:rsid w:val="008D188B"/>
    <w:rsid w:val="008D1942"/>
    <w:rsid w:val="008D2401"/>
    <w:rsid w:val="008D411D"/>
    <w:rsid w:val="008D441A"/>
    <w:rsid w:val="008D7889"/>
    <w:rsid w:val="008E0283"/>
    <w:rsid w:val="008E0C8D"/>
    <w:rsid w:val="008E0D4E"/>
    <w:rsid w:val="008E1F7D"/>
    <w:rsid w:val="008E2B12"/>
    <w:rsid w:val="008E3D4C"/>
    <w:rsid w:val="008E4C8B"/>
    <w:rsid w:val="008E5243"/>
    <w:rsid w:val="008E661C"/>
    <w:rsid w:val="008E766B"/>
    <w:rsid w:val="008E7C25"/>
    <w:rsid w:val="008F14A6"/>
    <w:rsid w:val="008F22A0"/>
    <w:rsid w:val="008F2D8F"/>
    <w:rsid w:val="008F36F5"/>
    <w:rsid w:val="008F3941"/>
    <w:rsid w:val="008F7063"/>
    <w:rsid w:val="008F7477"/>
    <w:rsid w:val="00900186"/>
    <w:rsid w:val="00900B17"/>
    <w:rsid w:val="00901455"/>
    <w:rsid w:val="009014AE"/>
    <w:rsid w:val="0090320E"/>
    <w:rsid w:val="00903CB8"/>
    <w:rsid w:val="00904460"/>
    <w:rsid w:val="00905D07"/>
    <w:rsid w:val="00905E17"/>
    <w:rsid w:val="0091109E"/>
    <w:rsid w:val="009113AF"/>
    <w:rsid w:val="00912E29"/>
    <w:rsid w:val="009133B6"/>
    <w:rsid w:val="009145BB"/>
    <w:rsid w:val="00915FB0"/>
    <w:rsid w:val="0092003D"/>
    <w:rsid w:val="00920AD3"/>
    <w:rsid w:val="009229AA"/>
    <w:rsid w:val="0092302B"/>
    <w:rsid w:val="00925ADB"/>
    <w:rsid w:val="00926417"/>
    <w:rsid w:val="009278C5"/>
    <w:rsid w:val="00927D41"/>
    <w:rsid w:val="009301F0"/>
    <w:rsid w:val="00933124"/>
    <w:rsid w:val="00933573"/>
    <w:rsid w:val="0093448B"/>
    <w:rsid w:val="00934A30"/>
    <w:rsid w:val="00940C14"/>
    <w:rsid w:val="00942AD9"/>
    <w:rsid w:val="0094473D"/>
    <w:rsid w:val="00944C84"/>
    <w:rsid w:val="009465A0"/>
    <w:rsid w:val="009514FF"/>
    <w:rsid w:val="00951D01"/>
    <w:rsid w:val="0095437F"/>
    <w:rsid w:val="0095448E"/>
    <w:rsid w:val="00954E97"/>
    <w:rsid w:val="009603A3"/>
    <w:rsid w:val="00960959"/>
    <w:rsid w:val="00960DF4"/>
    <w:rsid w:val="00960E09"/>
    <w:rsid w:val="0096107A"/>
    <w:rsid w:val="00961382"/>
    <w:rsid w:val="009614C1"/>
    <w:rsid w:val="00964125"/>
    <w:rsid w:val="00964A1F"/>
    <w:rsid w:val="00966FC3"/>
    <w:rsid w:val="00970299"/>
    <w:rsid w:val="0097151D"/>
    <w:rsid w:val="00973426"/>
    <w:rsid w:val="0097456C"/>
    <w:rsid w:val="00975ADF"/>
    <w:rsid w:val="009761C8"/>
    <w:rsid w:val="009761F3"/>
    <w:rsid w:val="009764D2"/>
    <w:rsid w:val="0098004B"/>
    <w:rsid w:val="009804BE"/>
    <w:rsid w:val="00986EFD"/>
    <w:rsid w:val="009873D6"/>
    <w:rsid w:val="00987769"/>
    <w:rsid w:val="00990908"/>
    <w:rsid w:val="00991409"/>
    <w:rsid w:val="00992B8A"/>
    <w:rsid w:val="00992FCF"/>
    <w:rsid w:val="009952C7"/>
    <w:rsid w:val="00996B30"/>
    <w:rsid w:val="00996E42"/>
    <w:rsid w:val="009971E3"/>
    <w:rsid w:val="009A1A53"/>
    <w:rsid w:val="009A378D"/>
    <w:rsid w:val="009A3D57"/>
    <w:rsid w:val="009A5BD8"/>
    <w:rsid w:val="009A7756"/>
    <w:rsid w:val="009B20FA"/>
    <w:rsid w:val="009B25C3"/>
    <w:rsid w:val="009B3481"/>
    <w:rsid w:val="009B34F9"/>
    <w:rsid w:val="009B53E6"/>
    <w:rsid w:val="009B6161"/>
    <w:rsid w:val="009B6965"/>
    <w:rsid w:val="009B7494"/>
    <w:rsid w:val="009B7B9D"/>
    <w:rsid w:val="009C331F"/>
    <w:rsid w:val="009C45D7"/>
    <w:rsid w:val="009C7146"/>
    <w:rsid w:val="009C7990"/>
    <w:rsid w:val="009D0E1A"/>
    <w:rsid w:val="009D4147"/>
    <w:rsid w:val="009D5155"/>
    <w:rsid w:val="009D6B92"/>
    <w:rsid w:val="009D6DB5"/>
    <w:rsid w:val="009D6FC4"/>
    <w:rsid w:val="009E153F"/>
    <w:rsid w:val="009E23F1"/>
    <w:rsid w:val="009E2B87"/>
    <w:rsid w:val="009E5D37"/>
    <w:rsid w:val="009F19F7"/>
    <w:rsid w:val="009F562F"/>
    <w:rsid w:val="009F584E"/>
    <w:rsid w:val="009F5B11"/>
    <w:rsid w:val="009F64CF"/>
    <w:rsid w:val="009F654D"/>
    <w:rsid w:val="00A005D0"/>
    <w:rsid w:val="00A01CE0"/>
    <w:rsid w:val="00A0237A"/>
    <w:rsid w:val="00A03F16"/>
    <w:rsid w:val="00A03F69"/>
    <w:rsid w:val="00A049C3"/>
    <w:rsid w:val="00A05F7B"/>
    <w:rsid w:val="00A069A2"/>
    <w:rsid w:val="00A070EC"/>
    <w:rsid w:val="00A07395"/>
    <w:rsid w:val="00A07A29"/>
    <w:rsid w:val="00A07C5F"/>
    <w:rsid w:val="00A07FC7"/>
    <w:rsid w:val="00A1073E"/>
    <w:rsid w:val="00A123C9"/>
    <w:rsid w:val="00A1380E"/>
    <w:rsid w:val="00A14169"/>
    <w:rsid w:val="00A164C2"/>
    <w:rsid w:val="00A166DE"/>
    <w:rsid w:val="00A16D56"/>
    <w:rsid w:val="00A216C1"/>
    <w:rsid w:val="00A21C48"/>
    <w:rsid w:val="00A21EA2"/>
    <w:rsid w:val="00A22A49"/>
    <w:rsid w:val="00A2490B"/>
    <w:rsid w:val="00A25B0A"/>
    <w:rsid w:val="00A26B75"/>
    <w:rsid w:val="00A3111A"/>
    <w:rsid w:val="00A31E65"/>
    <w:rsid w:val="00A320E7"/>
    <w:rsid w:val="00A32B2F"/>
    <w:rsid w:val="00A33762"/>
    <w:rsid w:val="00A33C08"/>
    <w:rsid w:val="00A344F4"/>
    <w:rsid w:val="00A36140"/>
    <w:rsid w:val="00A40DA7"/>
    <w:rsid w:val="00A41F64"/>
    <w:rsid w:val="00A420D1"/>
    <w:rsid w:val="00A42C5D"/>
    <w:rsid w:val="00A42F7E"/>
    <w:rsid w:val="00A44335"/>
    <w:rsid w:val="00A454B5"/>
    <w:rsid w:val="00A46AAD"/>
    <w:rsid w:val="00A47BD3"/>
    <w:rsid w:val="00A47F72"/>
    <w:rsid w:val="00A5008C"/>
    <w:rsid w:val="00A503C7"/>
    <w:rsid w:val="00A505CD"/>
    <w:rsid w:val="00A51923"/>
    <w:rsid w:val="00A56745"/>
    <w:rsid w:val="00A5766E"/>
    <w:rsid w:val="00A615E7"/>
    <w:rsid w:val="00A6687F"/>
    <w:rsid w:val="00A67A60"/>
    <w:rsid w:val="00A71C39"/>
    <w:rsid w:val="00A735DE"/>
    <w:rsid w:val="00A757EF"/>
    <w:rsid w:val="00A75DE9"/>
    <w:rsid w:val="00A80B5F"/>
    <w:rsid w:val="00A81387"/>
    <w:rsid w:val="00A81CCD"/>
    <w:rsid w:val="00A82DBB"/>
    <w:rsid w:val="00A83740"/>
    <w:rsid w:val="00A8415D"/>
    <w:rsid w:val="00A85F5E"/>
    <w:rsid w:val="00A86B9D"/>
    <w:rsid w:val="00A87FB3"/>
    <w:rsid w:val="00A918DA"/>
    <w:rsid w:val="00A92C5C"/>
    <w:rsid w:val="00A94E99"/>
    <w:rsid w:val="00A96E1F"/>
    <w:rsid w:val="00AA1D9D"/>
    <w:rsid w:val="00AA1E60"/>
    <w:rsid w:val="00AA3745"/>
    <w:rsid w:val="00AA4463"/>
    <w:rsid w:val="00AA51A2"/>
    <w:rsid w:val="00AA533C"/>
    <w:rsid w:val="00AA6BA5"/>
    <w:rsid w:val="00AB1359"/>
    <w:rsid w:val="00AB24E1"/>
    <w:rsid w:val="00AB2BA1"/>
    <w:rsid w:val="00AB2C18"/>
    <w:rsid w:val="00AB3576"/>
    <w:rsid w:val="00AB428C"/>
    <w:rsid w:val="00AB5F4D"/>
    <w:rsid w:val="00AB6A78"/>
    <w:rsid w:val="00AB6D42"/>
    <w:rsid w:val="00AC07ED"/>
    <w:rsid w:val="00AC0DEE"/>
    <w:rsid w:val="00AC266B"/>
    <w:rsid w:val="00AC3448"/>
    <w:rsid w:val="00AC412C"/>
    <w:rsid w:val="00AC4980"/>
    <w:rsid w:val="00AC4D0B"/>
    <w:rsid w:val="00AC4EAA"/>
    <w:rsid w:val="00AD4999"/>
    <w:rsid w:val="00AD4C56"/>
    <w:rsid w:val="00AD5890"/>
    <w:rsid w:val="00AD58E6"/>
    <w:rsid w:val="00AD73AA"/>
    <w:rsid w:val="00AE35E4"/>
    <w:rsid w:val="00AE3C06"/>
    <w:rsid w:val="00AE46AE"/>
    <w:rsid w:val="00AE4B4E"/>
    <w:rsid w:val="00AE59B7"/>
    <w:rsid w:val="00AE600F"/>
    <w:rsid w:val="00AE69C7"/>
    <w:rsid w:val="00AE6A94"/>
    <w:rsid w:val="00AF1099"/>
    <w:rsid w:val="00AF290B"/>
    <w:rsid w:val="00AF38A2"/>
    <w:rsid w:val="00AF439D"/>
    <w:rsid w:val="00AF4EB5"/>
    <w:rsid w:val="00AF6B23"/>
    <w:rsid w:val="00AF719F"/>
    <w:rsid w:val="00B00800"/>
    <w:rsid w:val="00B00BD0"/>
    <w:rsid w:val="00B013D4"/>
    <w:rsid w:val="00B01723"/>
    <w:rsid w:val="00B01B7E"/>
    <w:rsid w:val="00B02749"/>
    <w:rsid w:val="00B031D0"/>
    <w:rsid w:val="00B06203"/>
    <w:rsid w:val="00B06803"/>
    <w:rsid w:val="00B07202"/>
    <w:rsid w:val="00B07638"/>
    <w:rsid w:val="00B07C45"/>
    <w:rsid w:val="00B07D59"/>
    <w:rsid w:val="00B11D05"/>
    <w:rsid w:val="00B12F53"/>
    <w:rsid w:val="00B141A0"/>
    <w:rsid w:val="00B1494C"/>
    <w:rsid w:val="00B15416"/>
    <w:rsid w:val="00B1591C"/>
    <w:rsid w:val="00B15BA8"/>
    <w:rsid w:val="00B17169"/>
    <w:rsid w:val="00B177BD"/>
    <w:rsid w:val="00B21912"/>
    <w:rsid w:val="00B21AAF"/>
    <w:rsid w:val="00B22A85"/>
    <w:rsid w:val="00B23A6B"/>
    <w:rsid w:val="00B24BF6"/>
    <w:rsid w:val="00B26BC7"/>
    <w:rsid w:val="00B26C5D"/>
    <w:rsid w:val="00B278CD"/>
    <w:rsid w:val="00B27BF0"/>
    <w:rsid w:val="00B321EF"/>
    <w:rsid w:val="00B34F66"/>
    <w:rsid w:val="00B3590A"/>
    <w:rsid w:val="00B37B06"/>
    <w:rsid w:val="00B37F61"/>
    <w:rsid w:val="00B40C9F"/>
    <w:rsid w:val="00B4347A"/>
    <w:rsid w:val="00B43805"/>
    <w:rsid w:val="00B476B9"/>
    <w:rsid w:val="00B5052D"/>
    <w:rsid w:val="00B51D34"/>
    <w:rsid w:val="00B5260E"/>
    <w:rsid w:val="00B532D2"/>
    <w:rsid w:val="00B54863"/>
    <w:rsid w:val="00B54C70"/>
    <w:rsid w:val="00B570BC"/>
    <w:rsid w:val="00B57CB8"/>
    <w:rsid w:val="00B64A26"/>
    <w:rsid w:val="00B66E05"/>
    <w:rsid w:val="00B67C60"/>
    <w:rsid w:val="00B70060"/>
    <w:rsid w:val="00B7246F"/>
    <w:rsid w:val="00B75421"/>
    <w:rsid w:val="00B7605E"/>
    <w:rsid w:val="00B77A3E"/>
    <w:rsid w:val="00B81627"/>
    <w:rsid w:val="00B8243E"/>
    <w:rsid w:val="00B83E30"/>
    <w:rsid w:val="00B8425D"/>
    <w:rsid w:val="00B84266"/>
    <w:rsid w:val="00B84AE9"/>
    <w:rsid w:val="00B867D1"/>
    <w:rsid w:val="00B86E91"/>
    <w:rsid w:val="00B874E3"/>
    <w:rsid w:val="00B874EB"/>
    <w:rsid w:val="00B87918"/>
    <w:rsid w:val="00B87C99"/>
    <w:rsid w:val="00B90BF4"/>
    <w:rsid w:val="00B90C74"/>
    <w:rsid w:val="00B91E1C"/>
    <w:rsid w:val="00B92B8F"/>
    <w:rsid w:val="00B92DDE"/>
    <w:rsid w:val="00B93091"/>
    <w:rsid w:val="00B93AF2"/>
    <w:rsid w:val="00B941C6"/>
    <w:rsid w:val="00B94D01"/>
    <w:rsid w:val="00B9526D"/>
    <w:rsid w:val="00B97D99"/>
    <w:rsid w:val="00BA1323"/>
    <w:rsid w:val="00BA1EB2"/>
    <w:rsid w:val="00BA2BEB"/>
    <w:rsid w:val="00BA35B6"/>
    <w:rsid w:val="00BA3922"/>
    <w:rsid w:val="00BA3DFB"/>
    <w:rsid w:val="00BA4210"/>
    <w:rsid w:val="00BA4F39"/>
    <w:rsid w:val="00BA629C"/>
    <w:rsid w:val="00BA7DC1"/>
    <w:rsid w:val="00BB1869"/>
    <w:rsid w:val="00BB4B0D"/>
    <w:rsid w:val="00BB6119"/>
    <w:rsid w:val="00BB6246"/>
    <w:rsid w:val="00BB646F"/>
    <w:rsid w:val="00BB6F71"/>
    <w:rsid w:val="00BB7DD0"/>
    <w:rsid w:val="00BB7E28"/>
    <w:rsid w:val="00BC32F2"/>
    <w:rsid w:val="00BC65FE"/>
    <w:rsid w:val="00BC76EF"/>
    <w:rsid w:val="00BC7C6F"/>
    <w:rsid w:val="00BD287E"/>
    <w:rsid w:val="00BD32B6"/>
    <w:rsid w:val="00BD6412"/>
    <w:rsid w:val="00BD708A"/>
    <w:rsid w:val="00BD7921"/>
    <w:rsid w:val="00BE1AFD"/>
    <w:rsid w:val="00BE40F4"/>
    <w:rsid w:val="00BE4CF9"/>
    <w:rsid w:val="00BE78A0"/>
    <w:rsid w:val="00BF103F"/>
    <w:rsid w:val="00BF23B3"/>
    <w:rsid w:val="00C01ACE"/>
    <w:rsid w:val="00C021F0"/>
    <w:rsid w:val="00C059C9"/>
    <w:rsid w:val="00C06BD1"/>
    <w:rsid w:val="00C1025A"/>
    <w:rsid w:val="00C107A5"/>
    <w:rsid w:val="00C10DC7"/>
    <w:rsid w:val="00C126DE"/>
    <w:rsid w:val="00C12C3C"/>
    <w:rsid w:val="00C12D3F"/>
    <w:rsid w:val="00C13334"/>
    <w:rsid w:val="00C16009"/>
    <w:rsid w:val="00C16436"/>
    <w:rsid w:val="00C1714D"/>
    <w:rsid w:val="00C175CF"/>
    <w:rsid w:val="00C20EC8"/>
    <w:rsid w:val="00C219C8"/>
    <w:rsid w:val="00C225E7"/>
    <w:rsid w:val="00C22CA9"/>
    <w:rsid w:val="00C233D3"/>
    <w:rsid w:val="00C243E2"/>
    <w:rsid w:val="00C26679"/>
    <w:rsid w:val="00C274F9"/>
    <w:rsid w:val="00C305EA"/>
    <w:rsid w:val="00C30827"/>
    <w:rsid w:val="00C30C54"/>
    <w:rsid w:val="00C31475"/>
    <w:rsid w:val="00C31F7E"/>
    <w:rsid w:val="00C33555"/>
    <w:rsid w:val="00C3663F"/>
    <w:rsid w:val="00C373FD"/>
    <w:rsid w:val="00C375E5"/>
    <w:rsid w:val="00C4078E"/>
    <w:rsid w:val="00C42EEC"/>
    <w:rsid w:val="00C43C08"/>
    <w:rsid w:val="00C465F1"/>
    <w:rsid w:val="00C46631"/>
    <w:rsid w:val="00C46B3A"/>
    <w:rsid w:val="00C533BC"/>
    <w:rsid w:val="00C53436"/>
    <w:rsid w:val="00C53A85"/>
    <w:rsid w:val="00C545E5"/>
    <w:rsid w:val="00C5483C"/>
    <w:rsid w:val="00C568DA"/>
    <w:rsid w:val="00C57B08"/>
    <w:rsid w:val="00C609DD"/>
    <w:rsid w:val="00C609F0"/>
    <w:rsid w:val="00C63147"/>
    <w:rsid w:val="00C64107"/>
    <w:rsid w:val="00C64AD2"/>
    <w:rsid w:val="00C66A56"/>
    <w:rsid w:val="00C67DC2"/>
    <w:rsid w:val="00C71C68"/>
    <w:rsid w:val="00C729F8"/>
    <w:rsid w:val="00C72A2E"/>
    <w:rsid w:val="00C7417E"/>
    <w:rsid w:val="00C743DB"/>
    <w:rsid w:val="00C74515"/>
    <w:rsid w:val="00C747CB"/>
    <w:rsid w:val="00C74AA3"/>
    <w:rsid w:val="00C75272"/>
    <w:rsid w:val="00C76406"/>
    <w:rsid w:val="00C7708C"/>
    <w:rsid w:val="00C77A5D"/>
    <w:rsid w:val="00C8070E"/>
    <w:rsid w:val="00C81BA6"/>
    <w:rsid w:val="00C833C3"/>
    <w:rsid w:val="00C856A7"/>
    <w:rsid w:val="00C914EE"/>
    <w:rsid w:val="00C9239A"/>
    <w:rsid w:val="00C9289D"/>
    <w:rsid w:val="00C93503"/>
    <w:rsid w:val="00C93823"/>
    <w:rsid w:val="00C939D9"/>
    <w:rsid w:val="00C95342"/>
    <w:rsid w:val="00C9561D"/>
    <w:rsid w:val="00C96CE4"/>
    <w:rsid w:val="00CA07AD"/>
    <w:rsid w:val="00CA0D72"/>
    <w:rsid w:val="00CA10FC"/>
    <w:rsid w:val="00CA2FB2"/>
    <w:rsid w:val="00CA31E6"/>
    <w:rsid w:val="00CA35A9"/>
    <w:rsid w:val="00CA43B2"/>
    <w:rsid w:val="00CA47B2"/>
    <w:rsid w:val="00CA500D"/>
    <w:rsid w:val="00CA718C"/>
    <w:rsid w:val="00CA7B8E"/>
    <w:rsid w:val="00CB0E2F"/>
    <w:rsid w:val="00CB164E"/>
    <w:rsid w:val="00CB3EA9"/>
    <w:rsid w:val="00CB458C"/>
    <w:rsid w:val="00CB54B0"/>
    <w:rsid w:val="00CC0410"/>
    <w:rsid w:val="00CC0858"/>
    <w:rsid w:val="00CC1020"/>
    <w:rsid w:val="00CC178A"/>
    <w:rsid w:val="00CC1B42"/>
    <w:rsid w:val="00CC1C27"/>
    <w:rsid w:val="00CC4AAC"/>
    <w:rsid w:val="00CC72EC"/>
    <w:rsid w:val="00CC73ED"/>
    <w:rsid w:val="00CD06E4"/>
    <w:rsid w:val="00CD09E7"/>
    <w:rsid w:val="00CD176D"/>
    <w:rsid w:val="00CD2022"/>
    <w:rsid w:val="00CD2D6C"/>
    <w:rsid w:val="00CD3414"/>
    <w:rsid w:val="00CD76E8"/>
    <w:rsid w:val="00CE2077"/>
    <w:rsid w:val="00CE2885"/>
    <w:rsid w:val="00CE5A17"/>
    <w:rsid w:val="00CE79F7"/>
    <w:rsid w:val="00CE7ABA"/>
    <w:rsid w:val="00CF192A"/>
    <w:rsid w:val="00CF390E"/>
    <w:rsid w:val="00CF4766"/>
    <w:rsid w:val="00D014EC"/>
    <w:rsid w:val="00D01692"/>
    <w:rsid w:val="00D02DAE"/>
    <w:rsid w:val="00D03DF4"/>
    <w:rsid w:val="00D0468F"/>
    <w:rsid w:val="00D04888"/>
    <w:rsid w:val="00D062C8"/>
    <w:rsid w:val="00D11742"/>
    <w:rsid w:val="00D133F8"/>
    <w:rsid w:val="00D13FB9"/>
    <w:rsid w:val="00D15351"/>
    <w:rsid w:val="00D16226"/>
    <w:rsid w:val="00D1648A"/>
    <w:rsid w:val="00D17A4D"/>
    <w:rsid w:val="00D17C2B"/>
    <w:rsid w:val="00D17CA7"/>
    <w:rsid w:val="00D21373"/>
    <w:rsid w:val="00D21F20"/>
    <w:rsid w:val="00D2201A"/>
    <w:rsid w:val="00D229E8"/>
    <w:rsid w:val="00D242A8"/>
    <w:rsid w:val="00D2453D"/>
    <w:rsid w:val="00D24F55"/>
    <w:rsid w:val="00D251C2"/>
    <w:rsid w:val="00D26DAD"/>
    <w:rsid w:val="00D273DE"/>
    <w:rsid w:val="00D30BE4"/>
    <w:rsid w:val="00D36883"/>
    <w:rsid w:val="00D408B3"/>
    <w:rsid w:val="00D41BCD"/>
    <w:rsid w:val="00D42B17"/>
    <w:rsid w:val="00D45C18"/>
    <w:rsid w:val="00D45D2C"/>
    <w:rsid w:val="00D4652B"/>
    <w:rsid w:val="00D4704E"/>
    <w:rsid w:val="00D471DB"/>
    <w:rsid w:val="00D47828"/>
    <w:rsid w:val="00D53254"/>
    <w:rsid w:val="00D538DF"/>
    <w:rsid w:val="00D54218"/>
    <w:rsid w:val="00D54970"/>
    <w:rsid w:val="00D55627"/>
    <w:rsid w:val="00D5573D"/>
    <w:rsid w:val="00D563F4"/>
    <w:rsid w:val="00D56861"/>
    <w:rsid w:val="00D579F8"/>
    <w:rsid w:val="00D635F5"/>
    <w:rsid w:val="00D647E7"/>
    <w:rsid w:val="00D65B06"/>
    <w:rsid w:val="00D65C9E"/>
    <w:rsid w:val="00D66B03"/>
    <w:rsid w:val="00D66BC9"/>
    <w:rsid w:val="00D7077E"/>
    <w:rsid w:val="00D7141B"/>
    <w:rsid w:val="00D71BB9"/>
    <w:rsid w:val="00D722C6"/>
    <w:rsid w:val="00D72677"/>
    <w:rsid w:val="00D73646"/>
    <w:rsid w:val="00D76BBC"/>
    <w:rsid w:val="00D81382"/>
    <w:rsid w:val="00D8485D"/>
    <w:rsid w:val="00D8699A"/>
    <w:rsid w:val="00D8742D"/>
    <w:rsid w:val="00D87CA2"/>
    <w:rsid w:val="00D90772"/>
    <w:rsid w:val="00D915F2"/>
    <w:rsid w:val="00D920AA"/>
    <w:rsid w:val="00D9339A"/>
    <w:rsid w:val="00D95395"/>
    <w:rsid w:val="00D95401"/>
    <w:rsid w:val="00D95DFF"/>
    <w:rsid w:val="00D97DC9"/>
    <w:rsid w:val="00DA2007"/>
    <w:rsid w:val="00DA65A7"/>
    <w:rsid w:val="00DA7F81"/>
    <w:rsid w:val="00DB2181"/>
    <w:rsid w:val="00DB2228"/>
    <w:rsid w:val="00DB2531"/>
    <w:rsid w:val="00DB4AF4"/>
    <w:rsid w:val="00DB596E"/>
    <w:rsid w:val="00DB76FA"/>
    <w:rsid w:val="00DB7D2F"/>
    <w:rsid w:val="00DC1338"/>
    <w:rsid w:val="00DC33C4"/>
    <w:rsid w:val="00DC39AC"/>
    <w:rsid w:val="00DC4931"/>
    <w:rsid w:val="00DC4D59"/>
    <w:rsid w:val="00DC5C95"/>
    <w:rsid w:val="00DC6C5E"/>
    <w:rsid w:val="00DC6E54"/>
    <w:rsid w:val="00DC6FEC"/>
    <w:rsid w:val="00DC7CB6"/>
    <w:rsid w:val="00DD282A"/>
    <w:rsid w:val="00DD295D"/>
    <w:rsid w:val="00DD3577"/>
    <w:rsid w:val="00DD541D"/>
    <w:rsid w:val="00DD63A2"/>
    <w:rsid w:val="00DD708A"/>
    <w:rsid w:val="00DD741C"/>
    <w:rsid w:val="00DE01F3"/>
    <w:rsid w:val="00DE0890"/>
    <w:rsid w:val="00DE2A30"/>
    <w:rsid w:val="00DE2ED8"/>
    <w:rsid w:val="00DE39DD"/>
    <w:rsid w:val="00DE5424"/>
    <w:rsid w:val="00DE61F5"/>
    <w:rsid w:val="00DF0A2E"/>
    <w:rsid w:val="00DF1AE2"/>
    <w:rsid w:val="00DF1CC2"/>
    <w:rsid w:val="00DF1F93"/>
    <w:rsid w:val="00DF4EAB"/>
    <w:rsid w:val="00DF6497"/>
    <w:rsid w:val="00DF6D16"/>
    <w:rsid w:val="00E01589"/>
    <w:rsid w:val="00E0195A"/>
    <w:rsid w:val="00E06A57"/>
    <w:rsid w:val="00E07CCA"/>
    <w:rsid w:val="00E104AA"/>
    <w:rsid w:val="00E1216F"/>
    <w:rsid w:val="00E123FA"/>
    <w:rsid w:val="00E12AF0"/>
    <w:rsid w:val="00E12FED"/>
    <w:rsid w:val="00E13E37"/>
    <w:rsid w:val="00E14264"/>
    <w:rsid w:val="00E1695D"/>
    <w:rsid w:val="00E21229"/>
    <w:rsid w:val="00E220FD"/>
    <w:rsid w:val="00E2502D"/>
    <w:rsid w:val="00E25DF7"/>
    <w:rsid w:val="00E26D1B"/>
    <w:rsid w:val="00E271C9"/>
    <w:rsid w:val="00E313E6"/>
    <w:rsid w:val="00E33898"/>
    <w:rsid w:val="00E341C7"/>
    <w:rsid w:val="00E347D1"/>
    <w:rsid w:val="00E3551B"/>
    <w:rsid w:val="00E407BC"/>
    <w:rsid w:val="00E40988"/>
    <w:rsid w:val="00E451D3"/>
    <w:rsid w:val="00E45F46"/>
    <w:rsid w:val="00E46B91"/>
    <w:rsid w:val="00E47001"/>
    <w:rsid w:val="00E51745"/>
    <w:rsid w:val="00E526C8"/>
    <w:rsid w:val="00E5501D"/>
    <w:rsid w:val="00E55FDB"/>
    <w:rsid w:val="00E56C35"/>
    <w:rsid w:val="00E56DFC"/>
    <w:rsid w:val="00E5736A"/>
    <w:rsid w:val="00E57378"/>
    <w:rsid w:val="00E57466"/>
    <w:rsid w:val="00E6112E"/>
    <w:rsid w:val="00E62BD3"/>
    <w:rsid w:val="00E6313B"/>
    <w:rsid w:val="00E63ECC"/>
    <w:rsid w:val="00E64E91"/>
    <w:rsid w:val="00E65A05"/>
    <w:rsid w:val="00E705F5"/>
    <w:rsid w:val="00E71277"/>
    <w:rsid w:val="00E71567"/>
    <w:rsid w:val="00E743D8"/>
    <w:rsid w:val="00E76BE2"/>
    <w:rsid w:val="00E81301"/>
    <w:rsid w:val="00E83465"/>
    <w:rsid w:val="00E8472D"/>
    <w:rsid w:val="00E84DBF"/>
    <w:rsid w:val="00E86F88"/>
    <w:rsid w:val="00E86FEC"/>
    <w:rsid w:val="00E9058E"/>
    <w:rsid w:val="00E90655"/>
    <w:rsid w:val="00E91F73"/>
    <w:rsid w:val="00E92DEF"/>
    <w:rsid w:val="00E95826"/>
    <w:rsid w:val="00E95CF9"/>
    <w:rsid w:val="00E96209"/>
    <w:rsid w:val="00E96A89"/>
    <w:rsid w:val="00E96D0F"/>
    <w:rsid w:val="00E97607"/>
    <w:rsid w:val="00E97D8B"/>
    <w:rsid w:val="00EA412E"/>
    <w:rsid w:val="00EA520A"/>
    <w:rsid w:val="00EA5976"/>
    <w:rsid w:val="00EA5BEA"/>
    <w:rsid w:val="00EA7730"/>
    <w:rsid w:val="00EB107B"/>
    <w:rsid w:val="00EB1334"/>
    <w:rsid w:val="00EB22F6"/>
    <w:rsid w:val="00EB4EF8"/>
    <w:rsid w:val="00EB67DA"/>
    <w:rsid w:val="00EB67E5"/>
    <w:rsid w:val="00EB695C"/>
    <w:rsid w:val="00EB77D1"/>
    <w:rsid w:val="00EC0712"/>
    <w:rsid w:val="00EC216A"/>
    <w:rsid w:val="00EC6397"/>
    <w:rsid w:val="00EC7D20"/>
    <w:rsid w:val="00EC7D51"/>
    <w:rsid w:val="00ED07E0"/>
    <w:rsid w:val="00ED1069"/>
    <w:rsid w:val="00ED11B3"/>
    <w:rsid w:val="00ED15C4"/>
    <w:rsid w:val="00ED2767"/>
    <w:rsid w:val="00ED3290"/>
    <w:rsid w:val="00ED3CFD"/>
    <w:rsid w:val="00ED4CFD"/>
    <w:rsid w:val="00ED65C9"/>
    <w:rsid w:val="00ED6817"/>
    <w:rsid w:val="00ED6B0C"/>
    <w:rsid w:val="00ED6BF6"/>
    <w:rsid w:val="00ED7304"/>
    <w:rsid w:val="00ED7BE2"/>
    <w:rsid w:val="00ED7D33"/>
    <w:rsid w:val="00ED7EC1"/>
    <w:rsid w:val="00EE030A"/>
    <w:rsid w:val="00EE06EF"/>
    <w:rsid w:val="00EE0CCA"/>
    <w:rsid w:val="00EE1007"/>
    <w:rsid w:val="00EE22D1"/>
    <w:rsid w:val="00EE6063"/>
    <w:rsid w:val="00EE7D6B"/>
    <w:rsid w:val="00EF11B9"/>
    <w:rsid w:val="00EF1B89"/>
    <w:rsid w:val="00EF4E21"/>
    <w:rsid w:val="00EF5D80"/>
    <w:rsid w:val="00EF60ED"/>
    <w:rsid w:val="00EF6C58"/>
    <w:rsid w:val="00EF6DB5"/>
    <w:rsid w:val="00EF7496"/>
    <w:rsid w:val="00EF7570"/>
    <w:rsid w:val="00EF7CBC"/>
    <w:rsid w:val="00F01B60"/>
    <w:rsid w:val="00F022FD"/>
    <w:rsid w:val="00F027ED"/>
    <w:rsid w:val="00F02A16"/>
    <w:rsid w:val="00F02A3F"/>
    <w:rsid w:val="00F03715"/>
    <w:rsid w:val="00F03E5E"/>
    <w:rsid w:val="00F04A59"/>
    <w:rsid w:val="00F04DF5"/>
    <w:rsid w:val="00F066BE"/>
    <w:rsid w:val="00F06E78"/>
    <w:rsid w:val="00F072AD"/>
    <w:rsid w:val="00F11000"/>
    <w:rsid w:val="00F12227"/>
    <w:rsid w:val="00F12604"/>
    <w:rsid w:val="00F12F9B"/>
    <w:rsid w:val="00F13118"/>
    <w:rsid w:val="00F13178"/>
    <w:rsid w:val="00F1361A"/>
    <w:rsid w:val="00F14921"/>
    <w:rsid w:val="00F15C95"/>
    <w:rsid w:val="00F17614"/>
    <w:rsid w:val="00F17A80"/>
    <w:rsid w:val="00F2232E"/>
    <w:rsid w:val="00F22BDE"/>
    <w:rsid w:val="00F24A4B"/>
    <w:rsid w:val="00F25D01"/>
    <w:rsid w:val="00F26201"/>
    <w:rsid w:val="00F32A71"/>
    <w:rsid w:val="00F32B67"/>
    <w:rsid w:val="00F362BE"/>
    <w:rsid w:val="00F41EED"/>
    <w:rsid w:val="00F42F7D"/>
    <w:rsid w:val="00F43350"/>
    <w:rsid w:val="00F436C0"/>
    <w:rsid w:val="00F43E89"/>
    <w:rsid w:val="00F443D1"/>
    <w:rsid w:val="00F4478E"/>
    <w:rsid w:val="00F4496B"/>
    <w:rsid w:val="00F46A95"/>
    <w:rsid w:val="00F4730B"/>
    <w:rsid w:val="00F50139"/>
    <w:rsid w:val="00F52903"/>
    <w:rsid w:val="00F53E7B"/>
    <w:rsid w:val="00F548E6"/>
    <w:rsid w:val="00F55F43"/>
    <w:rsid w:val="00F60B5C"/>
    <w:rsid w:val="00F62E23"/>
    <w:rsid w:val="00F64510"/>
    <w:rsid w:val="00F649C2"/>
    <w:rsid w:val="00F661BC"/>
    <w:rsid w:val="00F7154D"/>
    <w:rsid w:val="00F71FBC"/>
    <w:rsid w:val="00F72085"/>
    <w:rsid w:val="00F7267D"/>
    <w:rsid w:val="00F743A7"/>
    <w:rsid w:val="00F74AAD"/>
    <w:rsid w:val="00F74CBD"/>
    <w:rsid w:val="00F76B1C"/>
    <w:rsid w:val="00F818BB"/>
    <w:rsid w:val="00F81A5E"/>
    <w:rsid w:val="00F81D17"/>
    <w:rsid w:val="00F83A7F"/>
    <w:rsid w:val="00F83E56"/>
    <w:rsid w:val="00F840C5"/>
    <w:rsid w:val="00F84F5A"/>
    <w:rsid w:val="00F86D9B"/>
    <w:rsid w:val="00F871FB"/>
    <w:rsid w:val="00F87237"/>
    <w:rsid w:val="00F90575"/>
    <w:rsid w:val="00F90F2A"/>
    <w:rsid w:val="00F9112D"/>
    <w:rsid w:val="00F91337"/>
    <w:rsid w:val="00F92D50"/>
    <w:rsid w:val="00F94E78"/>
    <w:rsid w:val="00F9686E"/>
    <w:rsid w:val="00F96B53"/>
    <w:rsid w:val="00FA03A3"/>
    <w:rsid w:val="00FA1FF8"/>
    <w:rsid w:val="00FA204C"/>
    <w:rsid w:val="00FA25D7"/>
    <w:rsid w:val="00FA3A34"/>
    <w:rsid w:val="00FA4387"/>
    <w:rsid w:val="00FA51AA"/>
    <w:rsid w:val="00FA62E8"/>
    <w:rsid w:val="00FA6827"/>
    <w:rsid w:val="00FA7BC0"/>
    <w:rsid w:val="00FB2A95"/>
    <w:rsid w:val="00FB342B"/>
    <w:rsid w:val="00FB3B1B"/>
    <w:rsid w:val="00FB43FF"/>
    <w:rsid w:val="00FB627A"/>
    <w:rsid w:val="00FC0D6C"/>
    <w:rsid w:val="00FC36B2"/>
    <w:rsid w:val="00FC3A2C"/>
    <w:rsid w:val="00FC47F4"/>
    <w:rsid w:val="00FC717E"/>
    <w:rsid w:val="00FC767A"/>
    <w:rsid w:val="00FD04A1"/>
    <w:rsid w:val="00FD0C2C"/>
    <w:rsid w:val="00FD31C6"/>
    <w:rsid w:val="00FD3309"/>
    <w:rsid w:val="00FD3C2C"/>
    <w:rsid w:val="00FD40E7"/>
    <w:rsid w:val="00FD40F4"/>
    <w:rsid w:val="00FD41C6"/>
    <w:rsid w:val="00FD5693"/>
    <w:rsid w:val="00FD66F5"/>
    <w:rsid w:val="00FD798E"/>
    <w:rsid w:val="00FD7DD1"/>
    <w:rsid w:val="00FE052C"/>
    <w:rsid w:val="00FE0805"/>
    <w:rsid w:val="00FE0DE1"/>
    <w:rsid w:val="00FE2166"/>
    <w:rsid w:val="00FE2713"/>
    <w:rsid w:val="00FE5490"/>
    <w:rsid w:val="00FE768C"/>
    <w:rsid w:val="00FE7813"/>
    <w:rsid w:val="00FF19CA"/>
    <w:rsid w:val="00FF292D"/>
    <w:rsid w:val="00FF2CE0"/>
    <w:rsid w:val="00FF2FF8"/>
    <w:rsid w:val="00FF3C26"/>
    <w:rsid w:val="00FF3EBA"/>
    <w:rsid w:val="00FF4696"/>
    <w:rsid w:val="00FF6AAD"/>
    <w:rsid w:val="00FF6C68"/>
    <w:rsid w:val="010E63FF"/>
    <w:rsid w:val="011B629E"/>
    <w:rsid w:val="01200F7F"/>
    <w:rsid w:val="0126764F"/>
    <w:rsid w:val="018C21A5"/>
    <w:rsid w:val="01972B18"/>
    <w:rsid w:val="01A5568A"/>
    <w:rsid w:val="01CB4FC9"/>
    <w:rsid w:val="01FC2DC5"/>
    <w:rsid w:val="0209031D"/>
    <w:rsid w:val="02626F54"/>
    <w:rsid w:val="02721E6A"/>
    <w:rsid w:val="028D692C"/>
    <w:rsid w:val="02BB3711"/>
    <w:rsid w:val="02FF3EF3"/>
    <w:rsid w:val="031F0DA9"/>
    <w:rsid w:val="03287D4E"/>
    <w:rsid w:val="033667C1"/>
    <w:rsid w:val="03630D06"/>
    <w:rsid w:val="03681C3C"/>
    <w:rsid w:val="03685798"/>
    <w:rsid w:val="03CF75C5"/>
    <w:rsid w:val="03D52D80"/>
    <w:rsid w:val="03FA693B"/>
    <w:rsid w:val="043D11AF"/>
    <w:rsid w:val="044F158E"/>
    <w:rsid w:val="046C5C2A"/>
    <w:rsid w:val="0486237A"/>
    <w:rsid w:val="0490638E"/>
    <w:rsid w:val="04C43447"/>
    <w:rsid w:val="04CD61FB"/>
    <w:rsid w:val="04EE35A6"/>
    <w:rsid w:val="051554AC"/>
    <w:rsid w:val="05BF1D09"/>
    <w:rsid w:val="061B4D44"/>
    <w:rsid w:val="067032E2"/>
    <w:rsid w:val="067508F8"/>
    <w:rsid w:val="071C2BF4"/>
    <w:rsid w:val="07834D51"/>
    <w:rsid w:val="07985DFA"/>
    <w:rsid w:val="0809597F"/>
    <w:rsid w:val="087626B7"/>
    <w:rsid w:val="08942C4B"/>
    <w:rsid w:val="08AB4848"/>
    <w:rsid w:val="08B952DA"/>
    <w:rsid w:val="09002112"/>
    <w:rsid w:val="09434CDD"/>
    <w:rsid w:val="096C33BF"/>
    <w:rsid w:val="09C43F96"/>
    <w:rsid w:val="09FE6E56"/>
    <w:rsid w:val="0A073817"/>
    <w:rsid w:val="0A341999"/>
    <w:rsid w:val="0A3F6C06"/>
    <w:rsid w:val="0A805E9A"/>
    <w:rsid w:val="0A9478A8"/>
    <w:rsid w:val="0A9934A8"/>
    <w:rsid w:val="0AA03480"/>
    <w:rsid w:val="0AAA2B3A"/>
    <w:rsid w:val="0ABF0394"/>
    <w:rsid w:val="0ADA1283"/>
    <w:rsid w:val="0B06628B"/>
    <w:rsid w:val="0B1F7316"/>
    <w:rsid w:val="0B5605CC"/>
    <w:rsid w:val="0B85619D"/>
    <w:rsid w:val="0BBB64E5"/>
    <w:rsid w:val="0BD87868"/>
    <w:rsid w:val="0C01678A"/>
    <w:rsid w:val="0C1F66C2"/>
    <w:rsid w:val="0C55609F"/>
    <w:rsid w:val="0C9D3858"/>
    <w:rsid w:val="0C9F4EFC"/>
    <w:rsid w:val="0CCD4054"/>
    <w:rsid w:val="0D176F04"/>
    <w:rsid w:val="0D7431FE"/>
    <w:rsid w:val="0DB60DE4"/>
    <w:rsid w:val="0DC67C8B"/>
    <w:rsid w:val="0DD20D93"/>
    <w:rsid w:val="0E0D7668"/>
    <w:rsid w:val="0E0E518E"/>
    <w:rsid w:val="0E1657B0"/>
    <w:rsid w:val="0E1C2BFF"/>
    <w:rsid w:val="0E364406"/>
    <w:rsid w:val="0E662175"/>
    <w:rsid w:val="0EC55C01"/>
    <w:rsid w:val="0ECE7B96"/>
    <w:rsid w:val="0ED229F3"/>
    <w:rsid w:val="0EDB08CB"/>
    <w:rsid w:val="0EF461D9"/>
    <w:rsid w:val="0F073DDF"/>
    <w:rsid w:val="0F82781D"/>
    <w:rsid w:val="0F847C52"/>
    <w:rsid w:val="0F963D6C"/>
    <w:rsid w:val="0FA0590C"/>
    <w:rsid w:val="0FAE1CB6"/>
    <w:rsid w:val="0FCA173A"/>
    <w:rsid w:val="0FD47E3C"/>
    <w:rsid w:val="10331486"/>
    <w:rsid w:val="10AB3168"/>
    <w:rsid w:val="10C55FD8"/>
    <w:rsid w:val="10CC58A0"/>
    <w:rsid w:val="10D339DD"/>
    <w:rsid w:val="10E26768"/>
    <w:rsid w:val="11734152"/>
    <w:rsid w:val="11A0203A"/>
    <w:rsid w:val="11CA3BB3"/>
    <w:rsid w:val="11EE1B8A"/>
    <w:rsid w:val="12053FC8"/>
    <w:rsid w:val="12767ED2"/>
    <w:rsid w:val="12896E2E"/>
    <w:rsid w:val="129B16E6"/>
    <w:rsid w:val="12AC20A9"/>
    <w:rsid w:val="13272F7A"/>
    <w:rsid w:val="13A3305F"/>
    <w:rsid w:val="13B86493"/>
    <w:rsid w:val="13E96481"/>
    <w:rsid w:val="13FC61B5"/>
    <w:rsid w:val="144573F9"/>
    <w:rsid w:val="146058C8"/>
    <w:rsid w:val="1475187C"/>
    <w:rsid w:val="149502EE"/>
    <w:rsid w:val="14CD5863"/>
    <w:rsid w:val="15000AB2"/>
    <w:rsid w:val="15232E3B"/>
    <w:rsid w:val="153320AA"/>
    <w:rsid w:val="15C933D5"/>
    <w:rsid w:val="15CE1DD3"/>
    <w:rsid w:val="15E23FCF"/>
    <w:rsid w:val="15F551FE"/>
    <w:rsid w:val="161A6DC6"/>
    <w:rsid w:val="164901B2"/>
    <w:rsid w:val="16890C2F"/>
    <w:rsid w:val="168B3880"/>
    <w:rsid w:val="17407CA5"/>
    <w:rsid w:val="174C13EE"/>
    <w:rsid w:val="17BB0135"/>
    <w:rsid w:val="17E06A48"/>
    <w:rsid w:val="17E7717C"/>
    <w:rsid w:val="180F7003"/>
    <w:rsid w:val="18504D21"/>
    <w:rsid w:val="185C48B3"/>
    <w:rsid w:val="185D32EF"/>
    <w:rsid w:val="1867206B"/>
    <w:rsid w:val="18B07A77"/>
    <w:rsid w:val="18E90CD1"/>
    <w:rsid w:val="18E92A80"/>
    <w:rsid w:val="18ED6A14"/>
    <w:rsid w:val="1943767D"/>
    <w:rsid w:val="19FD4636"/>
    <w:rsid w:val="1A366319"/>
    <w:rsid w:val="1A3B4CCB"/>
    <w:rsid w:val="1A620D3B"/>
    <w:rsid w:val="1A712403"/>
    <w:rsid w:val="1ABA46D4"/>
    <w:rsid w:val="1AFB6D22"/>
    <w:rsid w:val="1B070591"/>
    <w:rsid w:val="1B1572FE"/>
    <w:rsid w:val="1B1F6C2C"/>
    <w:rsid w:val="1B2628EB"/>
    <w:rsid w:val="1B2763A5"/>
    <w:rsid w:val="1B400E2A"/>
    <w:rsid w:val="1B612DA1"/>
    <w:rsid w:val="1B882B4E"/>
    <w:rsid w:val="1C031CE4"/>
    <w:rsid w:val="1C0C0F5F"/>
    <w:rsid w:val="1C3217C2"/>
    <w:rsid w:val="1C6B3AA2"/>
    <w:rsid w:val="1C8D7E96"/>
    <w:rsid w:val="1C9816CE"/>
    <w:rsid w:val="1D3A0204"/>
    <w:rsid w:val="1D3C5874"/>
    <w:rsid w:val="1D956547"/>
    <w:rsid w:val="1DD71A40"/>
    <w:rsid w:val="1DDC0E05"/>
    <w:rsid w:val="1DEE781A"/>
    <w:rsid w:val="1DF55DDE"/>
    <w:rsid w:val="1E263202"/>
    <w:rsid w:val="1E2702D2"/>
    <w:rsid w:val="1E2E78B2"/>
    <w:rsid w:val="1E3173A3"/>
    <w:rsid w:val="1EB1403F"/>
    <w:rsid w:val="1F15637C"/>
    <w:rsid w:val="1F6853C7"/>
    <w:rsid w:val="1F69491A"/>
    <w:rsid w:val="1F78690B"/>
    <w:rsid w:val="1F92003C"/>
    <w:rsid w:val="1FC14756"/>
    <w:rsid w:val="1FDC31F3"/>
    <w:rsid w:val="1FE33C5E"/>
    <w:rsid w:val="20054925"/>
    <w:rsid w:val="20185FBB"/>
    <w:rsid w:val="203171E6"/>
    <w:rsid w:val="20401B1F"/>
    <w:rsid w:val="20684BD2"/>
    <w:rsid w:val="207E7DC2"/>
    <w:rsid w:val="208714FC"/>
    <w:rsid w:val="20D17C03"/>
    <w:rsid w:val="20DA3331"/>
    <w:rsid w:val="20F546B7"/>
    <w:rsid w:val="20FC3541"/>
    <w:rsid w:val="21643F27"/>
    <w:rsid w:val="21676C37"/>
    <w:rsid w:val="219D08AB"/>
    <w:rsid w:val="21D877B6"/>
    <w:rsid w:val="22561186"/>
    <w:rsid w:val="226E709F"/>
    <w:rsid w:val="22764A0A"/>
    <w:rsid w:val="22D21279"/>
    <w:rsid w:val="237A5348"/>
    <w:rsid w:val="23AF080C"/>
    <w:rsid w:val="23F24BF1"/>
    <w:rsid w:val="24297892"/>
    <w:rsid w:val="244D7080"/>
    <w:rsid w:val="245F55B7"/>
    <w:rsid w:val="24831FDA"/>
    <w:rsid w:val="24886BEA"/>
    <w:rsid w:val="248C684D"/>
    <w:rsid w:val="256142E1"/>
    <w:rsid w:val="25891182"/>
    <w:rsid w:val="26052BA4"/>
    <w:rsid w:val="26196A40"/>
    <w:rsid w:val="2671650A"/>
    <w:rsid w:val="26D8122A"/>
    <w:rsid w:val="272D1D49"/>
    <w:rsid w:val="27A943D1"/>
    <w:rsid w:val="27B0644B"/>
    <w:rsid w:val="27B81765"/>
    <w:rsid w:val="289447B6"/>
    <w:rsid w:val="28C22931"/>
    <w:rsid w:val="28DA6013"/>
    <w:rsid w:val="29015E93"/>
    <w:rsid w:val="293B2E83"/>
    <w:rsid w:val="2993595C"/>
    <w:rsid w:val="29BB5580"/>
    <w:rsid w:val="29D67050"/>
    <w:rsid w:val="29D76728"/>
    <w:rsid w:val="29EF3C6E"/>
    <w:rsid w:val="2A184E15"/>
    <w:rsid w:val="2A2E284C"/>
    <w:rsid w:val="2A3846DF"/>
    <w:rsid w:val="2A672AB1"/>
    <w:rsid w:val="2A781EB5"/>
    <w:rsid w:val="2AA14B2B"/>
    <w:rsid w:val="2AFC63F0"/>
    <w:rsid w:val="2B314D36"/>
    <w:rsid w:val="2B345DDC"/>
    <w:rsid w:val="2B91392E"/>
    <w:rsid w:val="2BFD6B16"/>
    <w:rsid w:val="2C2E4AE9"/>
    <w:rsid w:val="2C6737F1"/>
    <w:rsid w:val="2C673F8F"/>
    <w:rsid w:val="2C717C3B"/>
    <w:rsid w:val="2CAE5D87"/>
    <w:rsid w:val="2CC374EA"/>
    <w:rsid w:val="2CE81695"/>
    <w:rsid w:val="2D066AAD"/>
    <w:rsid w:val="2D1270F4"/>
    <w:rsid w:val="2D1C6441"/>
    <w:rsid w:val="2D2B1E8D"/>
    <w:rsid w:val="2D572346"/>
    <w:rsid w:val="2D825525"/>
    <w:rsid w:val="2DAA05D8"/>
    <w:rsid w:val="2E2C36E3"/>
    <w:rsid w:val="2E3600BD"/>
    <w:rsid w:val="2E484EAC"/>
    <w:rsid w:val="2E4B3DC8"/>
    <w:rsid w:val="2E556795"/>
    <w:rsid w:val="2EAD1124"/>
    <w:rsid w:val="2EE16AC6"/>
    <w:rsid w:val="2EEE16BB"/>
    <w:rsid w:val="2EF4224A"/>
    <w:rsid w:val="2F7610B9"/>
    <w:rsid w:val="2F923A19"/>
    <w:rsid w:val="2F99381C"/>
    <w:rsid w:val="2FE42670"/>
    <w:rsid w:val="30332B06"/>
    <w:rsid w:val="30670A02"/>
    <w:rsid w:val="3075311F"/>
    <w:rsid w:val="30846992"/>
    <w:rsid w:val="30A12ED6"/>
    <w:rsid w:val="30E60A96"/>
    <w:rsid w:val="30F97D5A"/>
    <w:rsid w:val="310436BE"/>
    <w:rsid w:val="314F1E56"/>
    <w:rsid w:val="3154326A"/>
    <w:rsid w:val="316E1720"/>
    <w:rsid w:val="3198586F"/>
    <w:rsid w:val="31A33CBC"/>
    <w:rsid w:val="31AB480F"/>
    <w:rsid w:val="31C16E1F"/>
    <w:rsid w:val="321D6AB9"/>
    <w:rsid w:val="321F7BC2"/>
    <w:rsid w:val="3225114D"/>
    <w:rsid w:val="322748ED"/>
    <w:rsid w:val="323D1A1A"/>
    <w:rsid w:val="32676EE9"/>
    <w:rsid w:val="326A6BCC"/>
    <w:rsid w:val="32711639"/>
    <w:rsid w:val="32723F14"/>
    <w:rsid w:val="32787286"/>
    <w:rsid w:val="328F49B3"/>
    <w:rsid w:val="32AA7EA2"/>
    <w:rsid w:val="32B134C9"/>
    <w:rsid w:val="33182487"/>
    <w:rsid w:val="33346CC9"/>
    <w:rsid w:val="33750002"/>
    <w:rsid w:val="339D615C"/>
    <w:rsid w:val="33CF49C6"/>
    <w:rsid w:val="33D20183"/>
    <w:rsid w:val="33FD6212"/>
    <w:rsid w:val="3420011D"/>
    <w:rsid w:val="34753DB4"/>
    <w:rsid w:val="34897775"/>
    <w:rsid w:val="34F1098C"/>
    <w:rsid w:val="35100F3C"/>
    <w:rsid w:val="354E4257"/>
    <w:rsid w:val="356A630C"/>
    <w:rsid w:val="35EC53A9"/>
    <w:rsid w:val="361909F0"/>
    <w:rsid w:val="365D6AAF"/>
    <w:rsid w:val="36704ABB"/>
    <w:rsid w:val="36883480"/>
    <w:rsid w:val="36B612DD"/>
    <w:rsid w:val="37403D5B"/>
    <w:rsid w:val="37773F79"/>
    <w:rsid w:val="377838EB"/>
    <w:rsid w:val="384C5E56"/>
    <w:rsid w:val="38697D10"/>
    <w:rsid w:val="387168C2"/>
    <w:rsid w:val="388F0F54"/>
    <w:rsid w:val="389E09C9"/>
    <w:rsid w:val="389F0734"/>
    <w:rsid w:val="38A25CA6"/>
    <w:rsid w:val="38A5656B"/>
    <w:rsid w:val="38B20A5B"/>
    <w:rsid w:val="39276F80"/>
    <w:rsid w:val="394F3325"/>
    <w:rsid w:val="39551D3F"/>
    <w:rsid w:val="396E64A3"/>
    <w:rsid w:val="39A547E7"/>
    <w:rsid w:val="39BE1C76"/>
    <w:rsid w:val="39D030B9"/>
    <w:rsid w:val="39D50A73"/>
    <w:rsid w:val="39D966E3"/>
    <w:rsid w:val="39DF1B9E"/>
    <w:rsid w:val="39E22916"/>
    <w:rsid w:val="39F350B4"/>
    <w:rsid w:val="3A45320B"/>
    <w:rsid w:val="3A4837A7"/>
    <w:rsid w:val="3A8500AC"/>
    <w:rsid w:val="3AEB6410"/>
    <w:rsid w:val="3AF70BD4"/>
    <w:rsid w:val="3B512F70"/>
    <w:rsid w:val="3B842468"/>
    <w:rsid w:val="3B84690C"/>
    <w:rsid w:val="3B8A07A5"/>
    <w:rsid w:val="3B907132"/>
    <w:rsid w:val="3B994239"/>
    <w:rsid w:val="3B997928"/>
    <w:rsid w:val="3BC55BE9"/>
    <w:rsid w:val="3BEE1FD7"/>
    <w:rsid w:val="3C2A7E36"/>
    <w:rsid w:val="3C335F4F"/>
    <w:rsid w:val="3C4569F0"/>
    <w:rsid w:val="3C5B6745"/>
    <w:rsid w:val="3D000214"/>
    <w:rsid w:val="3D036D02"/>
    <w:rsid w:val="3D4072AC"/>
    <w:rsid w:val="3D550EF4"/>
    <w:rsid w:val="3D570175"/>
    <w:rsid w:val="3D8A5E22"/>
    <w:rsid w:val="3DDA41D7"/>
    <w:rsid w:val="3DE25039"/>
    <w:rsid w:val="3E2E0DB1"/>
    <w:rsid w:val="3E5D51F2"/>
    <w:rsid w:val="3E897E67"/>
    <w:rsid w:val="3EE46D5C"/>
    <w:rsid w:val="3F022642"/>
    <w:rsid w:val="3F0A35CC"/>
    <w:rsid w:val="3F3000C7"/>
    <w:rsid w:val="3F447797"/>
    <w:rsid w:val="3F46412E"/>
    <w:rsid w:val="3F536D21"/>
    <w:rsid w:val="3F853CED"/>
    <w:rsid w:val="3F873869"/>
    <w:rsid w:val="3FB41262"/>
    <w:rsid w:val="3FCD7223"/>
    <w:rsid w:val="3FD02D5B"/>
    <w:rsid w:val="3FF3233E"/>
    <w:rsid w:val="400B332C"/>
    <w:rsid w:val="401D3FB4"/>
    <w:rsid w:val="40221304"/>
    <w:rsid w:val="4061451C"/>
    <w:rsid w:val="4063628F"/>
    <w:rsid w:val="408F60A9"/>
    <w:rsid w:val="40C551BC"/>
    <w:rsid w:val="40FA4E7B"/>
    <w:rsid w:val="40FC3DE3"/>
    <w:rsid w:val="410A07A5"/>
    <w:rsid w:val="41664490"/>
    <w:rsid w:val="41703350"/>
    <w:rsid w:val="41735459"/>
    <w:rsid w:val="41986367"/>
    <w:rsid w:val="41D13F2D"/>
    <w:rsid w:val="41FB71FC"/>
    <w:rsid w:val="427F7E2D"/>
    <w:rsid w:val="429C7486"/>
    <w:rsid w:val="42B83FE5"/>
    <w:rsid w:val="42D669C5"/>
    <w:rsid w:val="42FF6CC8"/>
    <w:rsid w:val="43183288"/>
    <w:rsid w:val="431A1904"/>
    <w:rsid w:val="436239D7"/>
    <w:rsid w:val="439416B6"/>
    <w:rsid w:val="43D032E5"/>
    <w:rsid w:val="43F5366C"/>
    <w:rsid w:val="44586B88"/>
    <w:rsid w:val="44587D08"/>
    <w:rsid w:val="44983C5E"/>
    <w:rsid w:val="44AE67A8"/>
    <w:rsid w:val="44FE4127"/>
    <w:rsid w:val="45070F18"/>
    <w:rsid w:val="45753FD7"/>
    <w:rsid w:val="45880324"/>
    <w:rsid w:val="45BA3CA5"/>
    <w:rsid w:val="45E701C3"/>
    <w:rsid w:val="46141A02"/>
    <w:rsid w:val="462E5DF2"/>
    <w:rsid w:val="464D6CF8"/>
    <w:rsid w:val="46712183"/>
    <w:rsid w:val="468462CB"/>
    <w:rsid w:val="46F93E9F"/>
    <w:rsid w:val="4707756A"/>
    <w:rsid w:val="4716447F"/>
    <w:rsid w:val="47411C08"/>
    <w:rsid w:val="475249B4"/>
    <w:rsid w:val="47574ED5"/>
    <w:rsid w:val="47BE5710"/>
    <w:rsid w:val="47C5711C"/>
    <w:rsid w:val="47CF7161"/>
    <w:rsid w:val="47D115FE"/>
    <w:rsid w:val="47E80223"/>
    <w:rsid w:val="48202651"/>
    <w:rsid w:val="4869041A"/>
    <w:rsid w:val="488708E6"/>
    <w:rsid w:val="48E938EC"/>
    <w:rsid w:val="490B5E5B"/>
    <w:rsid w:val="492359B6"/>
    <w:rsid w:val="49502A2E"/>
    <w:rsid w:val="49504BBD"/>
    <w:rsid w:val="49910E1C"/>
    <w:rsid w:val="499917D4"/>
    <w:rsid w:val="49BB074E"/>
    <w:rsid w:val="49ED574E"/>
    <w:rsid w:val="49EE1373"/>
    <w:rsid w:val="49EF7646"/>
    <w:rsid w:val="4A0A26D2"/>
    <w:rsid w:val="4A200666"/>
    <w:rsid w:val="4A253068"/>
    <w:rsid w:val="4A282B58"/>
    <w:rsid w:val="4A756F9E"/>
    <w:rsid w:val="4A804706"/>
    <w:rsid w:val="4A9106FD"/>
    <w:rsid w:val="4A965D14"/>
    <w:rsid w:val="4B81429D"/>
    <w:rsid w:val="4B824C4E"/>
    <w:rsid w:val="4BC14C4D"/>
    <w:rsid w:val="4BF40E3E"/>
    <w:rsid w:val="4C172E84"/>
    <w:rsid w:val="4C3C6D10"/>
    <w:rsid w:val="4CA87F80"/>
    <w:rsid w:val="4CD80866"/>
    <w:rsid w:val="4D245859"/>
    <w:rsid w:val="4D2737D6"/>
    <w:rsid w:val="4D331F40"/>
    <w:rsid w:val="4D4F5EFB"/>
    <w:rsid w:val="4DBF6C7D"/>
    <w:rsid w:val="4DC37F47"/>
    <w:rsid w:val="4DD21759"/>
    <w:rsid w:val="4DE51CCB"/>
    <w:rsid w:val="4E607225"/>
    <w:rsid w:val="4EA85D29"/>
    <w:rsid w:val="4F271630"/>
    <w:rsid w:val="4F6C2556"/>
    <w:rsid w:val="4FA00183"/>
    <w:rsid w:val="4FE439C5"/>
    <w:rsid w:val="500047A6"/>
    <w:rsid w:val="500054F1"/>
    <w:rsid w:val="502C6D56"/>
    <w:rsid w:val="50762849"/>
    <w:rsid w:val="50CA30CD"/>
    <w:rsid w:val="50D566EE"/>
    <w:rsid w:val="50DA24CF"/>
    <w:rsid w:val="50FC5F25"/>
    <w:rsid w:val="51052466"/>
    <w:rsid w:val="51053BF3"/>
    <w:rsid w:val="513A22AD"/>
    <w:rsid w:val="51570432"/>
    <w:rsid w:val="5176064D"/>
    <w:rsid w:val="51CC1081"/>
    <w:rsid w:val="52040F56"/>
    <w:rsid w:val="52526266"/>
    <w:rsid w:val="52BF46A2"/>
    <w:rsid w:val="52C8216A"/>
    <w:rsid w:val="53081779"/>
    <w:rsid w:val="539D38BA"/>
    <w:rsid w:val="53C07DDC"/>
    <w:rsid w:val="53EC4BF7"/>
    <w:rsid w:val="53EF5388"/>
    <w:rsid w:val="54041F40"/>
    <w:rsid w:val="541C372E"/>
    <w:rsid w:val="54AC4FFA"/>
    <w:rsid w:val="54C17E31"/>
    <w:rsid w:val="55065A58"/>
    <w:rsid w:val="55230AEC"/>
    <w:rsid w:val="55425416"/>
    <w:rsid w:val="55656CDD"/>
    <w:rsid w:val="556C5FEF"/>
    <w:rsid w:val="556E1BAD"/>
    <w:rsid w:val="5579070C"/>
    <w:rsid w:val="55924DCB"/>
    <w:rsid w:val="559A01B7"/>
    <w:rsid w:val="55A97243"/>
    <w:rsid w:val="55C421F9"/>
    <w:rsid w:val="55C645F4"/>
    <w:rsid w:val="55CB44C0"/>
    <w:rsid w:val="55D3606E"/>
    <w:rsid w:val="56000D0B"/>
    <w:rsid w:val="56194F12"/>
    <w:rsid w:val="561D2A3F"/>
    <w:rsid w:val="563C1DDA"/>
    <w:rsid w:val="56821842"/>
    <w:rsid w:val="56D848CE"/>
    <w:rsid w:val="56FE711B"/>
    <w:rsid w:val="573568B4"/>
    <w:rsid w:val="576279F2"/>
    <w:rsid w:val="57690C8F"/>
    <w:rsid w:val="5771597B"/>
    <w:rsid w:val="5794182D"/>
    <w:rsid w:val="57B4461F"/>
    <w:rsid w:val="58020E8D"/>
    <w:rsid w:val="580D18D4"/>
    <w:rsid w:val="581B3E8B"/>
    <w:rsid w:val="582C7CB7"/>
    <w:rsid w:val="583102C7"/>
    <w:rsid w:val="58726012"/>
    <w:rsid w:val="58A40E0B"/>
    <w:rsid w:val="58B77F1B"/>
    <w:rsid w:val="58BA1CEE"/>
    <w:rsid w:val="58DC348C"/>
    <w:rsid w:val="592A65E6"/>
    <w:rsid w:val="592B4413"/>
    <w:rsid w:val="596722BD"/>
    <w:rsid w:val="597D26CF"/>
    <w:rsid w:val="597E7408"/>
    <w:rsid w:val="59D93E6F"/>
    <w:rsid w:val="59F92457"/>
    <w:rsid w:val="59FB6D28"/>
    <w:rsid w:val="5A470DD9"/>
    <w:rsid w:val="5A4F5EDF"/>
    <w:rsid w:val="5A797138"/>
    <w:rsid w:val="5A7A3C96"/>
    <w:rsid w:val="5ABE5A4B"/>
    <w:rsid w:val="5AC07CE1"/>
    <w:rsid w:val="5ACF314D"/>
    <w:rsid w:val="5AE52625"/>
    <w:rsid w:val="5B343FB7"/>
    <w:rsid w:val="5B696CDF"/>
    <w:rsid w:val="5BA83AF9"/>
    <w:rsid w:val="5BD74E45"/>
    <w:rsid w:val="5BF57B11"/>
    <w:rsid w:val="5C0E3323"/>
    <w:rsid w:val="5C4F7B01"/>
    <w:rsid w:val="5C5679F9"/>
    <w:rsid w:val="5C910501"/>
    <w:rsid w:val="5D5A7075"/>
    <w:rsid w:val="5D5B27A1"/>
    <w:rsid w:val="5D934037"/>
    <w:rsid w:val="5D9A4243"/>
    <w:rsid w:val="5DA93BDE"/>
    <w:rsid w:val="5DC16611"/>
    <w:rsid w:val="5DDB6408"/>
    <w:rsid w:val="5DF438B4"/>
    <w:rsid w:val="5DF919EB"/>
    <w:rsid w:val="5E193B03"/>
    <w:rsid w:val="5E9B5B97"/>
    <w:rsid w:val="5EB24BEC"/>
    <w:rsid w:val="5EBC1D07"/>
    <w:rsid w:val="5EF3152F"/>
    <w:rsid w:val="5F016074"/>
    <w:rsid w:val="5F776DCD"/>
    <w:rsid w:val="5F9C5723"/>
    <w:rsid w:val="5FF30B47"/>
    <w:rsid w:val="5FFE5D44"/>
    <w:rsid w:val="60437C78"/>
    <w:rsid w:val="606C343E"/>
    <w:rsid w:val="608973B9"/>
    <w:rsid w:val="60913EE6"/>
    <w:rsid w:val="60936B26"/>
    <w:rsid w:val="60A93AD8"/>
    <w:rsid w:val="60B847DE"/>
    <w:rsid w:val="60BA67A8"/>
    <w:rsid w:val="60BF0568"/>
    <w:rsid w:val="60CE4002"/>
    <w:rsid w:val="60D37AAA"/>
    <w:rsid w:val="60FD7D16"/>
    <w:rsid w:val="61363955"/>
    <w:rsid w:val="615640F5"/>
    <w:rsid w:val="616F199A"/>
    <w:rsid w:val="619528A3"/>
    <w:rsid w:val="61B11112"/>
    <w:rsid w:val="61C16FEA"/>
    <w:rsid w:val="62137AC8"/>
    <w:rsid w:val="62576DB1"/>
    <w:rsid w:val="625C5CEF"/>
    <w:rsid w:val="628472D5"/>
    <w:rsid w:val="62CC631F"/>
    <w:rsid w:val="62EF200D"/>
    <w:rsid w:val="62FD6A68"/>
    <w:rsid w:val="63220722"/>
    <w:rsid w:val="632E0D88"/>
    <w:rsid w:val="63A00324"/>
    <w:rsid w:val="63C4349A"/>
    <w:rsid w:val="63D74F7B"/>
    <w:rsid w:val="6499554C"/>
    <w:rsid w:val="64C43A3F"/>
    <w:rsid w:val="64D019A6"/>
    <w:rsid w:val="64E61ECA"/>
    <w:rsid w:val="64F955BE"/>
    <w:rsid w:val="65152802"/>
    <w:rsid w:val="65167D25"/>
    <w:rsid w:val="652627C1"/>
    <w:rsid w:val="657D7DA4"/>
    <w:rsid w:val="65A53C6D"/>
    <w:rsid w:val="65AB639C"/>
    <w:rsid w:val="65D13EC2"/>
    <w:rsid w:val="65DC0F6F"/>
    <w:rsid w:val="660A2E72"/>
    <w:rsid w:val="660B53B0"/>
    <w:rsid w:val="661A55F3"/>
    <w:rsid w:val="66464D7E"/>
    <w:rsid w:val="667C005C"/>
    <w:rsid w:val="669047B5"/>
    <w:rsid w:val="669E3068"/>
    <w:rsid w:val="66BC60B1"/>
    <w:rsid w:val="67177D85"/>
    <w:rsid w:val="67284DEB"/>
    <w:rsid w:val="67654F94"/>
    <w:rsid w:val="67A07D7A"/>
    <w:rsid w:val="67C900A9"/>
    <w:rsid w:val="67DE4477"/>
    <w:rsid w:val="67F417F2"/>
    <w:rsid w:val="685622C5"/>
    <w:rsid w:val="6882401D"/>
    <w:rsid w:val="69831D6D"/>
    <w:rsid w:val="6992710D"/>
    <w:rsid w:val="69D84B34"/>
    <w:rsid w:val="69DA7573"/>
    <w:rsid w:val="69E618E4"/>
    <w:rsid w:val="6A0D5B9B"/>
    <w:rsid w:val="6A276531"/>
    <w:rsid w:val="6A476FE2"/>
    <w:rsid w:val="6A667059"/>
    <w:rsid w:val="6A9A6DF0"/>
    <w:rsid w:val="6AC36259"/>
    <w:rsid w:val="6AC54ED1"/>
    <w:rsid w:val="6AD83AD4"/>
    <w:rsid w:val="6B071A62"/>
    <w:rsid w:val="6B076F18"/>
    <w:rsid w:val="6B924226"/>
    <w:rsid w:val="6BDA6B1E"/>
    <w:rsid w:val="6BEA3CBA"/>
    <w:rsid w:val="6C055CF8"/>
    <w:rsid w:val="6C256AA0"/>
    <w:rsid w:val="6C627810"/>
    <w:rsid w:val="6C8F5842"/>
    <w:rsid w:val="6C9A3598"/>
    <w:rsid w:val="6CE04516"/>
    <w:rsid w:val="6CF7668E"/>
    <w:rsid w:val="6CFA1963"/>
    <w:rsid w:val="6CFA1CDB"/>
    <w:rsid w:val="6D337226"/>
    <w:rsid w:val="6D401DE3"/>
    <w:rsid w:val="6D6049EA"/>
    <w:rsid w:val="6D6524AA"/>
    <w:rsid w:val="6D9C125A"/>
    <w:rsid w:val="6DA11374"/>
    <w:rsid w:val="6DC031A0"/>
    <w:rsid w:val="6E2A6922"/>
    <w:rsid w:val="6EBB1D37"/>
    <w:rsid w:val="6EEA3674"/>
    <w:rsid w:val="6EEB623D"/>
    <w:rsid w:val="6F003164"/>
    <w:rsid w:val="6F286FD3"/>
    <w:rsid w:val="6F3843F0"/>
    <w:rsid w:val="6F414A7F"/>
    <w:rsid w:val="6F572C2C"/>
    <w:rsid w:val="6F5B1156"/>
    <w:rsid w:val="70121BA2"/>
    <w:rsid w:val="701841EE"/>
    <w:rsid w:val="703B26E8"/>
    <w:rsid w:val="70590E1E"/>
    <w:rsid w:val="70750092"/>
    <w:rsid w:val="709E7E8D"/>
    <w:rsid w:val="70A370D3"/>
    <w:rsid w:val="70AB15FE"/>
    <w:rsid w:val="70D05DE9"/>
    <w:rsid w:val="70E959E8"/>
    <w:rsid w:val="71294F63"/>
    <w:rsid w:val="718E5B9A"/>
    <w:rsid w:val="71F004B9"/>
    <w:rsid w:val="71FD4747"/>
    <w:rsid w:val="721F6691"/>
    <w:rsid w:val="72485ABE"/>
    <w:rsid w:val="72677E12"/>
    <w:rsid w:val="728A75B0"/>
    <w:rsid w:val="72962D10"/>
    <w:rsid w:val="72AF5315"/>
    <w:rsid w:val="739264C9"/>
    <w:rsid w:val="73B726D3"/>
    <w:rsid w:val="73B820E1"/>
    <w:rsid w:val="744A79EB"/>
    <w:rsid w:val="74D95FC0"/>
    <w:rsid w:val="74F07EF6"/>
    <w:rsid w:val="75341A37"/>
    <w:rsid w:val="75571002"/>
    <w:rsid w:val="756920F3"/>
    <w:rsid w:val="757232EB"/>
    <w:rsid w:val="757F0C31"/>
    <w:rsid w:val="75894543"/>
    <w:rsid w:val="75A976AE"/>
    <w:rsid w:val="75BA6FE1"/>
    <w:rsid w:val="75CD61DE"/>
    <w:rsid w:val="760B6D06"/>
    <w:rsid w:val="7637416E"/>
    <w:rsid w:val="76F15F35"/>
    <w:rsid w:val="772C3044"/>
    <w:rsid w:val="77356731"/>
    <w:rsid w:val="774D3A7A"/>
    <w:rsid w:val="7763329E"/>
    <w:rsid w:val="776821F4"/>
    <w:rsid w:val="77931A6B"/>
    <w:rsid w:val="77E55713"/>
    <w:rsid w:val="77EC32BB"/>
    <w:rsid w:val="7806753D"/>
    <w:rsid w:val="782D1944"/>
    <w:rsid w:val="78454C08"/>
    <w:rsid w:val="784739C6"/>
    <w:rsid w:val="785A2E96"/>
    <w:rsid w:val="789842C8"/>
    <w:rsid w:val="78A13CF9"/>
    <w:rsid w:val="78CF7D27"/>
    <w:rsid w:val="796C6412"/>
    <w:rsid w:val="798474FC"/>
    <w:rsid w:val="798E2128"/>
    <w:rsid w:val="79A401F0"/>
    <w:rsid w:val="79B53B29"/>
    <w:rsid w:val="79E446EA"/>
    <w:rsid w:val="7A04063C"/>
    <w:rsid w:val="7A36068C"/>
    <w:rsid w:val="7A917CBF"/>
    <w:rsid w:val="7AB84A82"/>
    <w:rsid w:val="7B09319D"/>
    <w:rsid w:val="7B3034B4"/>
    <w:rsid w:val="7B65146E"/>
    <w:rsid w:val="7B952D20"/>
    <w:rsid w:val="7BC36A67"/>
    <w:rsid w:val="7BCF6ABB"/>
    <w:rsid w:val="7BD70E66"/>
    <w:rsid w:val="7C350056"/>
    <w:rsid w:val="7CA2105A"/>
    <w:rsid w:val="7D2977CE"/>
    <w:rsid w:val="7D760CAF"/>
    <w:rsid w:val="7D823D52"/>
    <w:rsid w:val="7DD162EF"/>
    <w:rsid w:val="7DDA135B"/>
    <w:rsid w:val="7DEC566F"/>
    <w:rsid w:val="7E16287D"/>
    <w:rsid w:val="7E7B37EB"/>
    <w:rsid w:val="7E8A5BE3"/>
    <w:rsid w:val="7EA01A8C"/>
    <w:rsid w:val="7EBE700C"/>
    <w:rsid w:val="7ED93E46"/>
    <w:rsid w:val="7EEF2D5A"/>
    <w:rsid w:val="7F791FC0"/>
    <w:rsid w:val="7FA135F0"/>
    <w:rsid w:val="7FD30895"/>
    <w:rsid w:val="7FFE66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0" w:name="toc 3"/>
    <w:lsdException w:qFormat="1" w:unhideWhenUsed="0" w:uiPriority="0" w:name="toc 4"/>
    <w:lsdException w:uiPriority="0" w:name="toc 5"/>
    <w:lsdException w:qFormat="1" w:unhideWhenUsed="0" w:uiPriority="0" w:name="toc 6"/>
    <w:lsdException w:uiPriority="0" w:name="toc 7"/>
    <w:lsdException w:uiPriority="0" w:name="toc 8"/>
    <w:lsdException w:uiPriority="0" w:name="toc 9"/>
    <w:lsdException w:qFormat="1" w:unhideWhenUsed="0" w:uiPriority="0" w:semiHidden="0" w:name="Normal Indent"/>
    <w:lsdException w:qFormat="1" w:unhideWhenUsed="0" w:uiPriority="99"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qFormat="1" w:unhideWhenUsed="0" w:uiPriority="0" w:semiHidden="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99" w:semiHidden="0" w:name="Body Text Indent"/>
    <w:lsdException w:uiPriority="0" w:name="List Continue"/>
    <w:lsdException w:qFormat="1"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6"/>
    <w:qFormat/>
    <w:uiPriority w:val="0"/>
    <w:pPr>
      <w:keepNext/>
      <w:keepLines/>
      <w:spacing w:before="340" w:after="330" w:line="578" w:lineRule="auto"/>
      <w:outlineLvl w:val="0"/>
    </w:pPr>
    <w:rPr>
      <w:rFonts w:ascii="Tahoma" w:hAnsi="Tahoma"/>
      <w:b/>
      <w:bCs/>
      <w:kern w:val="44"/>
      <w:sz w:val="44"/>
      <w:szCs w:val="44"/>
    </w:rPr>
  </w:style>
  <w:style w:type="paragraph" w:styleId="3">
    <w:name w:val="heading 2"/>
    <w:basedOn w:val="1"/>
    <w:next w:val="1"/>
    <w:link w:val="79"/>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71"/>
    <w:qFormat/>
    <w:uiPriority w:val="0"/>
    <w:pPr>
      <w:keepNext/>
      <w:keepLines/>
      <w:spacing w:before="260" w:after="260" w:line="416" w:lineRule="auto"/>
      <w:outlineLvl w:val="2"/>
    </w:pPr>
    <w:rPr>
      <w:b/>
      <w:bCs/>
      <w:sz w:val="32"/>
      <w:szCs w:val="32"/>
    </w:rPr>
  </w:style>
  <w:style w:type="paragraph" w:styleId="5">
    <w:name w:val="heading 4"/>
    <w:basedOn w:val="1"/>
    <w:next w:val="1"/>
    <w:link w:val="67"/>
    <w:qFormat/>
    <w:uiPriority w:val="0"/>
    <w:pPr>
      <w:keepNext/>
      <w:keepLines/>
      <w:spacing w:before="280" w:after="290" w:line="376" w:lineRule="auto"/>
      <w:outlineLvl w:val="3"/>
    </w:pPr>
    <w:rPr>
      <w:rFonts w:ascii="Arial" w:hAnsi="Arial" w:eastAsia="黑体"/>
      <w:b/>
      <w:bCs/>
      <w:sz w:val="28"/>
      <w:szCs w:val="28"/>
    </w:rPr>
  </w:style>
  <w:style w:type="paragraph" w:styleId="6">
    <w:name w:val="heading 6"/>
    <w:basedOn w:val="1"/>
    <w:next w:val="1"/>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7">
    <w:name w:val="heading 7"/>
    <w:basedOn w:val="1"/>
    <w:next w:val="1"/>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8">
    <w:name w:val="heading 8"/>
    <w:basedOn w:val="1"/>
    <w:next w:val="1"/>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9">
    <w:name w:val="heading 9"/>
    <w:basedOn w:val="1"/>
    <w:next w:val="1"/>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9">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10">
    <w:name w:val="List 3"/>
    <w:basedOn w:val="1"/>
    <w:qFormat/>
    <w:uiPriority w:val="0"/>
    <w:pPr>
      <w:ind w:left="100" w:leftChars="400" w:hanging="200" w:hangingChars="200"/>
    </w:pPr>
  </w:style>
  <w:style w:type="paragraph" w:styleId="11">
    <w:name w:val="Normal Indent"/>
    <w:basedOn w:val="1"/>
    <w:link w:val="59"/>
    <w:qFormat/>
    <w:uiPriority w:val="0"/>
    <w:pPr>
      <w:ind w:firstLine="420"/>
    </w:pPr>
  </w:style>
  <w:style w:type="paragraph" w:styleId="12">
    <w:name w:val="caption"/>
    <w:basedOn w:val="1"/>
    <w:next w:val="1"/>
    <w:qFormat/>
    <w:uiPriority w:val="0"/>
    <w:pPr>
      <w:spacing w:before="152" w:after="160"/>
    </w:pPr>
    <w:rPr>
      <w:rFonts w:ascii="Arial" w:hAnsi="Arial" w:eastAsia="黑体" w:cs="Arial"/>
      <w:sz w:val="20"/>
      <w:szCs w:val="20"/>
    </w:rPr>
  </w:style>
  <w:style w:type="paragraph" w:styleId="13">
    <w:name w:val="Document Map"/>
    <w:basedOn w:val="1"/>
    <w:semiHidden/>
    <w:qFormat/>
    <w:uiPriority w:val="0"/>
    <w:pPr>
      <w:shd w:val="clear" w:color="auto" w:fill="000080"/>
    </w:pPr>
  </w:style>
  <w:style w:type="paragraph" w:styleId="14">
    <w:name w:val="annotation text"/>
    <w:basedOn w:val="1"/>
    <w:link w:val="69"/>
    <w:semiHidden/>
    <w:qFormat/>
    <w:uiPriority w:val="0"/>
    <w:pPr>
      <w:adjustRightInd w:val="0"/>
      <w:jc w:val="left"/>
      <w:textAlignment w:val="baseline"/>
    </w:pPr>
    <w:rPr>
      <w:rFonts w:ascii="MingLiU" w:hAnsi="Tahoma" w:eastAsia="MingLiU"/>
      <w:kern w:val="0"/>
      <w:sz w:val="24"/>
      <w:szCs w:val="20"/>
      <w:lang w:eastAsia="zh-TW"/>
    </w:rPr>
  </w:style>
  <w:style w:type="paragraph" w:styleId="15">
    <w:name w:val="Body Text 3"/>
    <w:basedOn w:val="1"/>
    <w:link w:val="72"/>
    <w:qFormat/>
    <w:uiPriority w:val="0"/>
    <w:rPr>
      <w:rFonts w:ascii="宋体" w:hAnsi="Tahoma"/>
      <w:sz w:val="24"/>
      <w:szCs w:val="20"/>
    </w:rPr>
  </w:style>
  <w:style w:type="paragraph" w:styleId="16">
    <w:name w:val="Body Text"/>
    <w:basedOn w:val="1"/>
    <w:next w:val="1"/>
    <w:link w:val="162"/>
    <w:qFormat/>
    <w:uiPriority w:val="0"/>
    <w:pPr>
      <w:spacing w:after="120"/>
    </w:pPr>
  </w:style>
  <w:style w:type="paragraph" w:styleId="17">
    <w:name w:val="Body Text Indent"/>
    <w:basedOn w:val="1"/>
    <w:next w:val="18"/>
    <w:link w:val="81"/>
    <w:qFormat/>
    <w:uiPriority w:val="99"/>
    <w:pPr>
      <w:spacing w:after="120"/>
      <w:ind w:left="420" w:leftChars="200"/>
    </w:pPr>
  </w:style>
  <w:style w:type="paragraph" w:styleId="18">
    <w:name w:val="envelope return"/>
    <w:basedOn w:val="1"/>
    <w:qFormat/>
    <w:uiPriority w:val="0"/>
    <w:pPr>
      <w:snapToGrid w:val="0"/>
    </w:pPr>
    <w:rPr>
      <w:rFonts w:ascii="Arial" w:hAnsi="Arial"/>
    </w:rPr>
  </w:style>
  <w:style w:type="paragraph" w:styleId="19">
    <w:name w:val="List 2"/>
    <w:basedOn w:val="1"/>
    <w:qFormat/>
    <w:uiPriority w:val="0"/>
    <w:pPr>
      <w:ind w:left="100" w:leftChars="200" w:hanging="200" w:hangingChars="200"/>
    </w:pPr>
  </w:style>
  <w:style w:type="paragraph" w:styleId="20">
    <w:name w:val="Block Text"/>
    <w:basedOn w:val="1"/>
    <w:qFormat/>
    <w:uiPriority w:val="0"/>
    <w:pPr>
      <w:ind w:left="-716" w:leftChars="-342" w:right="-874" w:rightChars="-416" w:hanging="2"/>
    </w:pPr>
    <w:rPr>
      <w:sz w:val="28"/>
    </w:rPr>
  </w:style>
  <w:style w:type="paragraph" w:styleId="21">
    <w:name w:val="List Bullet 2"/>
    <w:basedOn w:val="1"/>
    <w:qFormat/>
    <w:uiPriority w:val="0"/>
    <w:pPr>
      <w:tabs>
        <w:tab w:val="left" w:pos="780"/>
      </w:tabs>
      <w:ind w:left="780" w:hanging="360"/>
    </w:pPr>
  </w:style>
  <w:style w:type="paragraph" w:styleId="22">
    <w:name w:val="toc 3"/>
    <w:basedOn w:val="1"/>
    <w:next w:val="1"/>
    <w:semiHidden/>
    <w:qFormat/>
    <w:uiPriority w:val="0"/>
    <w:pPr>
      <w:ind w:left="840" w:leftChars="400"/>
    </w:pPr>
  </w:style>
  <w:style w:type="paragraph" w:styleId="23">
    <w:name w:val="Plain Text"/>
    <w:basedOn w:val="1"/>
    <w:link w:val="58"/>
    <w:qFormat/>
    <w:uiPriority w:val="0"/>
    <w:rPr>
      <w:rFonts w:ascii="宋体" w:hAnsi="Courier New"/>
      <w:szCs w:val="21"/>
    </w:rPr>
  </w:style>
  <w:style w:type="paragraph" w:styleId="24">
    <w:name w:val="Date"/>
    <w:basedOn w:val="1"/>
    <w:next w:val="1"/>
    <w:link w:val="76"/>
    <w:qFormat/>
    <w:uiPriority w:val="0"/>
    <w:pPr>
      <w:ind w:left="100" w:leftChars="2500"/>
    </w:pPr>
  </w:style>
  <w:style w:type="paragraph" w:styleId="25">
    <w:name w:val="Body Text Indent 2"/>
    <w:basedOn w:val="1"/>
    <w:link w:val="88"/>
    <w:qFormat/>
    <w:uiPriority w:val="0"/>
    <w:pPr>
      <w:adjustRightInd w:val="0"/>
      <w:snapToGrid w:val="0"/>
      <w:spacing w:line="300" w:lineRule="auto"/>
      <w:ind w:right="-512" w:rightChars="-244" w:firstLine="567"/>
    </w:pPr>
    <w:rPr>
      <w:rFonts w:eastAsia="仿宋_GB2312"/>
      <w:snapToGrid w:val="0"/>
      <w:sz w:val="24"/>
    </w:rPr>
  </w:style>
  <w:style w:type="paragraph" w:styleId="26">
    <w:name w:val="Balloon Text"/>
    <w:basedOn w:val="1"/>
    <w:link w:val="84"/>
    <w:qFormat/>
    <w:uiPriority w:val="0"/>
    <w:rPr>
      <w:rFonts w:ascii="Tahoma" w:hAnsi="Tahoma"/>
      <w:sz w:val="18"/>
      <w:szCs w:val="18"/>
    </w:rPr>
  </w:style>
  <w:style w:type="paragraph" w:styleId="27">
    <w:name w:val="footer"/>
    <w:basedOn w:val="1"/>
    <w:link w:val="82"/>
    <w:qFormat/>
    <w:uiPriority w:val="99"/>
    <w:pPr>
      <w:tabs>
        <w:tab w:val="center" w:pos="4153"/>
        <w:tab w:val="right" w:pos="8306"/>
      </w:tabs>
      <w:snapToGrid w:val="0"/>
      <w:jc w:val="left"/>
    </w:pPr>
    <w:rPr>
      <w:sz w:val="18"/>
      <w:szCs w:val="18"/>
    </w:rPr>
  </w:style>
  <w:style w:type="paragraph" w:styleId="2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qFormat/>
    <w:uiPriority w:val="39"/>
    <w:pPr>
      <w:spacing w:line="440" w:lineRule="exact"/>
      <w:jc w:val="center"/>
    </w:pPr>
  </w:style>
  <w:style w:type="paragraph" w:styleId="30">
    <w:name w:val="toc 4"/>
    <w:basedOn w:val="1"/>
    <w:next w:val="1"/>
    <w:semiHidden/>
    <w:qFormat/>
    <w:uiPriority w:val="0"/>
    <w:pPr>
      <w:ind w:left="1260" w:leftChars="600"/>
    </w:pPr>
  </w:style>
  <w:style w:type="paragraph" w:styleId="31">
    <w:name w:val="Subtitle"/>
    <w:basedOn w:val="1"/>
    <w:next w:val="1"/>
    <w:link w:val="63"/>
    <w:qFormat/>
    <w:uiPriority w:val="0"/>
    <w:pPr>
      <w:spacing w:before="240" w:after="60" w:line="312" w:lineRule="auto"/>
      <w:jc w:val="center"/>
      <w:outlineLvl w:val="1"/>
    </w:pPr>
    <w:rPr>
      <w:rFonts w:ascii="Cambria" w:hAnsi="Cambria" w:eastAsia="黑体"/>
      <w:bCs/>
      <w:kern w:val="28"/>
      <w:sz w:val="32"/>
      <w:szCs w:val="32"/>
    </w:rPr>
  </w:style>
  <w:style w:type="paragraph" w:styleId="32">
    <w:name w:val="List"/>
    <w:basedOn w:val="1"/>
    <w:qFormat/>
    <w:uiPriority w:val="0"/>
    <w:pPr>
      <w:ind w:left="420" w:hanging="420"/>
    </w:pPr>
    <w:rPr>
      <w:szCs w:val="20"/>
    </w:rPr>
  </w:style>
  <w:style w:type="paragraph" w:styleId="33">
    <w:name w:val="footnote text"/>
    <w:basedOn w:val="1"/>
    <w:qFormat/>
    <w:uiPriority w:val="99"/>
    <w:pPr>
      <w:snapToGrid w:val="0"/>
      <w:jc w:val="left"/>
    </w:pPr>
    <w:rPr>
      <w:sz w:val="18"/>
      <w:szCs w:val="18"/>
    </w:rPr>
  </w:style>
  <w:style w:type="paragraph" w:styleId="34">
    <w:name w:val="toc 6"/>
    <w:basedOn w:val="1"/>
    <w:next w:val="1"/>
    <w:semiHidden/>
    <w:qFormat/>
    <w:uiPriority w:val="0"/>
    <w:pPr>
      <w:ind w:left="2100" w:leftChars="1000"/>
    </w:pPr>
  </w:style>
  <w:style w:type="paragraph" w:styleId="35">
    <w:name w:val="Body Text Indent 3"/>
    <w:basedOn w:val="1"/>
    <w:qFormat/>
    <w:uiPriority w:val="0"/>
    <w:pPr>
      <w:spacing w:after="120"/>
      <w:ind w:left="420" w:leftChars="200"/>
    </w:pPr>
    <w:rPr>
      <w:sz w:val="16"/>
      <w:szCs w:val="16"/>
    </w:rPr>
  </w:style>
  <w:style w:type="paragraph" w:styleId="36">
    <w:name w:val="toc 2"/>
    <w:basedOn w:val="1"/>
    <w:next w:val="1"/>
    <w:qFormat/>
    <w:uiPriority w:val="39"/>
    <w:pPr>
      <w:ind w:left="420" w:leftChars="200"/>
    </w:pPr>
  </w:style>
  <w:style w:type="paragraph" w:styleId="37">
    <w:name w:val="Body Text 2"/>
    <w:basedOn w:val="1"/>
    <w:qFormat/>
    <w:uiPriority w:val="0"/>
    <w:pPr>
      <w:spacing w:after="120" w:line="480" w:lineRule="auto"/>
    </w:pPr>
  </w:style>
  <w:style w:type="paragraph" w:styleId="38">
    <w:name w:val="List 4"/>
    <w:basedOn w:val="1"/>
    <w:qFormat/>
    <w:uiPriority w:val="0"/>
    <w:pPr>
      <w:ind w:left="100" w:leftChars="600" w:hanging="200" w:hangingChars="200"/>
    </w:pPr>
  </w:style>
  <w:style w:type="paragraph" w:styleId="39">
    <w:name w:val="List Continue 2"/>
    <w:basedOn w:val="1"/>
    <w:qFormat/>
    <w:uiPriority w:val="0"/>
    <w:pPr>
      <w:spacing w:after="120"/>
      <w:ind w:left="840" w:leftChars="400"/>
    </w:pPr>
  </w:style>
  <w:style w:type="paragraph" w:styleId="40">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80" w:lineRule="atLeast"/>
      <w:jc w:val="left"/>
    </w:pPr>
    <w:rPr>
      <w:rFonts w:eastAsia="黑体" w:cs="Courier New"/>
      <w:kern w:val="0"/>
      <w:sz w:val="18"/>
      <w:szCs w:val="18"/>
    </w:rPr>
  </w:style>
  <w:style w:type="paragraph" w:styleId="4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42">
    <w:name w:val="index 1"/>
    <w:basedOn w:val="1"/>
    <w:next w:val="1"/>
    <w:semiHidden/>
    <w:qFormat/>
    <w:uiPriority w:val="0"/>
    <w:pPr>
      <w:spacing w:line="220" w:lineRule="exact"/>
      <w:jc w:val="center"/>
    </w:pPr>
    <w:rPr>
      <w:rFonts w:ascii="仿宋_GB2312" w:eastAsia="仿宋_GB2312"/>
      <w:szCs w:val="21"/>
    </w:rPr>
  </w:style>
  <w:style w:type="paragraph" w:styleId="43">
    <w:name w:val="index 2"/>
    <w:basedOn w:val="1"/>
    <w:next w:val="1"/>
    <w:semiHidden/>
    <w:qFormat/>
    <w:uiPriority w:val="0"/>
    <w:pPr>
      <w:widowControl/>
      <w:ind w:left="200" w:leftChars="200"/>
      <w:jc w:val="left"/>
    </w:pPr>
    <w:rPr>
      <w:kern w:val="0"/>
      <w:sz w:val="20"/>
      <w:szCs w:val="20"/>
    </w:rPr>
  </w:style>
  <w:style w:type="paragraph" w:styleId="44">
    <w:name w:val="Title"/>
    <w:basedOn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45">
    <w:name w:val="annotation subject"/>
    <w:basedOn w:val="14"/>
    <w:next w:val="14"/>
    <w:semiHidden/>
    <w:qFormat/>
    <w:uiPriority w:val="0"/>
    <w:pPr>
      <w:adjustRightInd/>
      <w:textAlignment w:val="auto"/>
    </w:pPr>
    <w:rPr>
      <w:rFonts w:ascii="Times New Roman" w:eastAsia="宋体"/>
      <w:b/>
      <w:bCs/>
      <w:kern w:val="2"/>
      <w:sz w:val="21"/>
      <w:szCs w:val="24"/>
      <w:lang w:eastAsia="zh-CN"/>
    </w:rPr>
  </w:style>
  <w:style w:type="paragraph" w:styleId="46">
    <w:name w:val="Body Text First Indent 2"/>
    <w:basedOn w:val="17"/>
    <w:qFormat/>
    <w:uiPriority w:val="0"/>
    <w:pPr>
      <w:ind w:firstLine="420" w:firstLineChars="200"/>
    </w:pPr>
  </w:style>
  <w:style w:type="table" w:styleId="48">
    <w:name w:val="Table Grid"/>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0">
    <w:name w:val="Strong"/>
    <w:qFormat/>
    <w:uiPriority w:val="0"/>
    <w:rPr>
      <w:rFonts w:ascii="Tahoma" w:hAnsi="Tahoma"/>
      <w:b/>
      <w:bCs/>
      <w:sz w:val="24"/>
      <w:szCs w:val="20"/>
    </w:rPr>
  </w:style>
  <w:style w:type="character" w:styleId="51">
    <w:name w:val="page number"/>
    <w:basedOn w:val="49"/>
    <w:qFormat/>
    <w:uiPriority w:val="0"/>
  </w:style>
  <w:style w:type="character" w:styleId="52">
    <w:name w:val="FollowedHyperlink"/>
    <w:qFormat/>
    <w:uiPriority w:val="0"/>
    <w:rPr>
      <w:rFonts w:ascii="Tahoma" w:hAnsi="Tahoma"/>
      <w:color w:val="800080"/>
      <w:sz w:val="24"/>
      <w:szCs w:val="20"/>
      <w:u w:val="single"/>
    </w:rPr>
  </w:style>
  <w:style w:type="character" w:styleId="53">
    <w:name w:val="Emphasis"/>
    <w:qFormat/>
    <w:uiPriority w:val="0"/>
    <w:rPr>
      <w:rFonts w:ascii="Tahoma" w:hAnsi="Tahoma"/>
      <w:color w:val="CC0000"/>
      <w:sz w:val="24"/>
      <w:szCs w:val="20"/>
    </w:rPr>
  </w:style>
  <w:style w:type="character" w:styleId="54">
    <w:name w:val="Hyperlink"/>
    <w:qFormat/>
    <w:uiPriority w:val="0"/>
    <w:rPr>
      <w:rFonts w:ascii="Tahoma" w:hAnsi="Tahoma"/>
      <w:color w:val="0000FF"/>
      <w:sz w:val="24"/>
      <w:szCs w:val="20"/>
      <w:u w:val="single"/>
    </w:rPr>
  </w:style>
  <w:style w:type="character" w:styleId="55">
    <w:name w:val="annotation reference"/>
    <w:unhideWhenUsed/>
    <w:qFormat/>
    <w:uiPriority w:val="0"/>
    <w:rPr>
      <w:sz w:val="21"/>
      <w:szCs w:val="21"/>
    </w:rPr>
  </w:style>
  <w:style w:type="character" w:customStyle="1" w:styleId="56">
    <w:name w:val="标题 1 字符"/>
    <w:link w:val="2"/>
    <w:qFormat/>
    <w:uiPriority w:val="0"/>
    <w:rPr>
      <w:rFonts w:ascii="Tahoma" w:hAnsi="Tahoma" w:eastAsia="宋体"/>
      <w:b/>
      <w:bCs/>
      <w:kern w:val="44"/>
      <w:sz w:val="44"/>
      <w:szCs w:val="44"/>
      <w:lang w:val="en-US" w:eastAsia="zh-CN" w:bidi="ar-SA"/>
    </w:rPr>
  </w:style>
  <w:style w:type="character" w:customStyle="1" w:styleId="57">
    <w:name w:val="Char Char12"/>
    <w:qFormat/>
    <w:uiPriority w:val="0"/>
    <w:rPr>
      <w:rFonts w:ascii="宋体" w:hAnsi="Tahoma" w:eastAsia="宋体"/>
      <w:kern w:val="2"/>
      <w:sz w:val="24"/>
      <w:szCs w:val="20"/>
      <w:lang w:val="en-US" w:eastAsia="zh-CN" w:bidi="ar-SA"/>
    </w:rPr>
  </w:style>
  <w:style w:type="character" w:customStyle="1" w:styleId="58">
    <w:name w:val="纯文本 字符"/>
    <w:link w:val="23"/>
    <w:qFormat/>
    <w:uiPriority w:val="0"/>
    <w:rPr>
      <w:rFonts w:ascii="宋体" w:hAnsi="Courier New" w:eastAsia="宋体"/>
      <w:kern w:val="2"/>
      <w:sz w:val="21"/>
      <w:szCs w:val="21"/>
      <w:lang w:val="en-US" w:eastAsia="zh-CN" w:bidi="ar-SA"/>
    </w:rPr>
  </w:style>
  <w:style w:type="character" w:customStyle="1" w:styleId="59">
    <w:name w:val="正文缩进 字符"/>
    <w:link w:val="11"/>
    <w:qFormat/>
    <w:uiPriority w:val="0"/>
    <w:rPr>
      <w:kern w:val="2"/>
      <w:sz w:val="21"/>
      <w:szCs w:val="24"/>
    </w:rPr>
  </w:style>
  <w:style w:type="character" w:customStyle="1" w:styleId="60">
    <w:name w:val="Char Char2"/>
    <w:qFormat/>
    <w:uiPriority w:val="0"/>
    <w:rPr>
      <w:rFonts w:ascii="Arial" w:hAnsi="Arial" w:eastAsia="黑体"/>
      <w:b/>
      <w:bCs/>
      <w:kern w:val="2"/>
      <w:sz w:val="32"/>
      <w:szCs w:val="32"/>
      <w:lang w:val="en-US" w:eastAsia="zh-CN" w:bidi="ar-SA"/>
    </w:rPr>
  </w:style>
  <w:style w:type="character" w:customStyle="1" w:styleId="61">
    <w:name w:val="表中五号字 Char"/>
    <w:link w:val="62"/>
    <w:qFormat/>
    <w:locked/>
    <w:uiPriority w:val="0"/>
    <w:rPr>
      <w:bCs/>
      <w:kern w:val="2"/>
      <w:sz w:val="21"/>
      <w:szCs w:val="21"/>
      <w:lang w:val="en-US" w:eastAsia="zh-CN" w:bidi="ar-SA"/>
    </w:rPr>
  </w:style>
  <w:style w:type="paragraph" w:customStyle="1" w:styleId="62">
    <w:name w:val="表中五号字"/>
    <w:link w:val="61"/>
    <w:qFormat/>
    <w:uiPriority w:val="0"/>
    <w:pPr>
      <w:jc w:val="center"/>
    </w:pPr>
    <w:rPr>
      <w:rFonts w:ascii="Times New Roman" w:hAnsi="Times New Roman" w:eastAsia="宋体" w:cs="Times New Roman"/>
      <w:bCs/>
      <w:kern w:val="2"/>
      <w:sz w:val="21"/>
      <w:szCs w:val="21"/>
      <w:lang w:val="en-US" w:eastAsia="zh-CN" w:bidi="ar-SA"/>
    </w:rPr>
  </w:style>
  <w:style w:type="character" w:customStyle="1" w:styleId="63">
    <w:name w:val="副标题 字符"/>
    <w:link w:val="31"/>
    <w:qFormat/>
    <w:uiPriority w:val="0"/>
    <w:rPr>
      <w:rFonts w:ascii="Cambria" w:hAnsi="Cambria" w:eastAsia="黑体"/>
      <w:bCs/>
      <w:kern w:val="28"/>
      <w:sz w:val="32"/>
      <w:szCs w:val="32"/>
    </w:rPr>
  </w:style>
  <w:style w:type="character" w:customStyle="1" w:styleId="64">
    <w:name w:val="样式 标题 3 + (中文) 黑体 Char"/>
    <w:link w:val="65"/>
    <w:qFormat/>
    <w:uiPriority w:val="0"/>
    <w:rPr>
      <w:rFonts w:eastAsia="黑体"/>
      <w:b/>
      <w:bCs/>
      <w:color w:val="000000"/>
      <w:sz w:val="28"/>
      <w:szCs w:val="32"/>
    </w:rPr>
  </w:style>
  <w:style w:type="paragraph" w:customStyle="1" w:styleId="65">
    <w:name w:val="样式 标题 3 + (中文) 黑体"/>
    <w:basedOn w:val="4"/>
    <w:link w:val="64"/>
    <w:qFormat/>
    <w:uiPriority w:val="0"/>
    <w:pPr>
      <w:tabs>
        <w:tab w:val="left" w:pos="2160"/>
      </w:tabs>
      <w:spacing w:before="120" w:after="120" w:line="360" w:lineRule="auto"/>
      <w:ind w:left="2160" w:hanging="720"/>
    </w:pPr>
    <w:rPr>
      <w:rFonts w:eastAsia="黑体"/>
      <w:color w:val="000000"/>
      <w:kern w:val="0"/>
      <w:sz w:val="28"/>
    </w:rPr>
  </w:style>
  <w:style w:type="character" w:customStyle="1" w:styleId="66">
    <w:name w:val="Char Char5"/>
    <w:qFormat/>
    <w:uiPriority w:val="0"/>
    <w:rPr>
      <w:rFonts w:ascii="Tahoma" w:hAnsi="Tahoma" w:eastAsia="宋体"/>
      <w:kern w:val="2"/>
      <w:sz w:val="18"/>
      <w:szCs w:val="18"/>
      <w:lang w:val="en-US" w:eastAsia="zh-CN" w:bidi="ar-SA"/>
    </w:rPr>
  </w:style>
  <w:style w:type="character" w:customStyle="1" w:styleId="67">
    <w:name w:val="标题 4 字符"/>
    <w:link w:val="5"/>
    <w:qFormat/>
    <w:uiPriority w:val="0"/>
    <w:rPr>
      <w:rFonts w:ascii="Arial" w:hAnsi="Arial" w:eastAsia="黑体"/>
      <w:b/>
      <w:bCs/>
      <w:kern w:val="2"/>
      <w:sz w:val="28"/>
      <w:szCs w:val="28"/>
    </w:rPr>
  </w:style>
  <w:style w:type="character" w:customStyle="1" w:styleId="68">
    <w:name w:val="style31"/>
    <w:qFormat/>
    <w:uiPriority w:val="0"/>
    <w:rPr>
      <w:rFonts w:ascii="Tahoma" w:hAnsi="Tahoma"/>
      <w:sz w:val="18"/>
      <w:szCs w:val="18"/>
    </w:rPr>
  </w:style>
  <w:style w:type="character" w:customStyle="1" w:styleId="69">
    <w:name w:val="批注文字 字符"/>
    <w:link w:val="14"/>
    <w:qFormat/>
    <w:uiPriority w:val="0"/>
    <w:rPr>
      <w:rFonts w:ascii="MingLiU" w:hAnsi="Tahoma" w:eastAsia="MingLiU"/>
      <w:sz w:val="24"/>
      <w:szCs w:val="20"/>
      <w:lang w:val="en-US" w:eastAsia="zh-TW" w:bidi="ar-SA"/>
    </w:rPr>
  </w:style>
  <w:style w:type="character" w:customStyle="1" w:styleId="70">
    <w:name w:val="Char Char"/>
    <w:qFormat/>
    <w:uiPriority w:val="0"/>
    <w:rPr>
      <w:rFonts w:ascii="Tahoma" w:hAnsi="Tahoma"/>
      <w:kern w:val="2"/>
      <w:sz w:val="18"/>
      <w:szCs w:val="18"/>
    </w:rPr>
  </w:style>
  <w:style w:type="character" w:customStyle="1" w:styleId="71">
    <w:name w:val="标题 3 字符"/>
    <w:link w:val="4"/>
    <w:qFormat/>
    <w:uiPriority w:val="0"/>
    <w:rPr>
      <w:b/>
      <w:bCs/>
      <w:kern w:val="2"/>
      <w:sz w:val="32"/>
      <w:szCs w:val="32"/>
    </w:rPr>
  </w:style>
  <w:style w:type="character" w:customStyle="1" w:styleId="72">
    <w:name w:val="正文文本 3 字符"/>
    <w:link w:val="15"/>
    <w:qFormat/>
    <w:uiPriority w:val="0"/>
    <w:rPr>
      <w:rFonts w:ascii="宋体" w:hAnsi="Tahoma" w:eastAsia="宋体"/>
      <w:kern w:val="2"/>
      <w:sz w:val="24"/>
      <w:szCs w:val="20"/>
      <w:lang w:val="en-US" w:eastAsia="zh-CN" w:bidi="ar-SA"/>
    </w:rPr>
  </w:style>
  <w:style w:type="character" w:customStyle="1" w:styleId="73">
    <w:name w:val="样式 Char"/>
    <w:link w:val="74"/>
    <w:qFormat/>
    <w:uiPriority w:val="0"/>
    <w:rPr>
      <w:rFonts w:ascii="宋体" w:hAnsi="宋体" w:cs="宋体"/>
      <w:sz w:val="24"/>
      <w:szCs w:val="24"/>
      <w:lang w:val="en-US" w:eastAsia="zh-CN" w:bidi="ar-SA"/>
    </w:rPr>
  </w:style>
  <w:style w:type="paragraph" w:customStyle="1" w:styleId="74">
    <w:name w:val="样式"/>
    <w:link w:val="73"/>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75">
    <w:name w:val="textcontents"/>
    <w:basedOn w:val="49"/>
    <w:qFormat/>
    <w:uiPriority w:val="0"/>
  </w:style>
  <w:style w:type="character" w:customStyle="1" w:styleId="76">
    <w:name w:val="日期 字符"/>
    <w:link w:val="24"/>
    <w:qFormat/>
    <w:uiPriority w:val="0"/>
    <w:rPr>
      <w:kern w:val="2"/>
      <w:sz w:val="21"/>
      <w:szCs w:val="24"/>
    </w:rPr>
  </w:style>
  <w:style w:type="character" w:customStyle="1" w:styleId="77">
    <w:name w:val="标题 1 Char"/>
    <w:qFormat/>
    <w:uiPriority w:val="0"/>
    <w:rPr>
      <w:rFonts w:ascii="仿宋_GB2312" w:hAnsi="Tahoma" w:eastAsia="黑体"/>
      <w:kern w:val="2"/>
      <w:sz w:val="32"/>
      <w:szCs w:val="24"/>
      <w:lang w:val="en-US" w:eastAsia="zh-CN" w:bidi="ar-SA"/>
    </w:rPr>
  </w:style>
  <w:style w:type="character" w:customStyle="1" w:styleId="78">
    <w:name w:val="Char Char1"/>
    <w:qFormat/>
    <w:uiPriority w:val="0"/>
    <w:rPr>
      <w:rFonts w:ascii="MingLiU" w:hAnsi="Tahoma" w:eastAsia="MingLiU"/>
      <w:sz w:val="24"/>
      <w:szCs w:val="20"/>
      <w:lang w:val="en-US" w:eastAsia="zh-TW" w:bidi="ar-SA"/>
    </w:rPr>
  </w:style>
  <w:style w:type="character" w:customStyle="1" w:styleId="79">
    <w:name w:val="标题 2 字符"/>
    <w:link w:val="3"/>
    <w:qFormat/>
    <w:uiPriority w:val="0"/>
    <w:rPr>
      <w:rFonts w:ascii="Arial" w:hAnsi="Arial" w:eastAsia="黑体"/>
      <w:b/>
      <w:bCs/>
      <w:kern w:val="2"/>
      <w:sz w:val="32"/>
      <w:szCs w:val="32"/>
      <w:lang w:val="en-US" w:eastAsia="zh-CN" w:bidi="ar-SA"/>
    </w:rPr>
  </w:style>
  <w:style w:type="character" w:customStyle="1" w:styleId="80">
    <w:name w:val="htd01"/>
    <w:basedOn w:val="49"/>
    <w:qFormat/>
    <w:uiPriority w:val="0"/>
  </w:style>
  <w:style w:type="character" w:customStyle="1" w:styleId="81">
    <w:name w:val="正文文本缩进 字符"/>
    <w:link w:val="17"/>
    <w:qFormat/>
    <w:uiPriority w:val="99"/>
    <w:rPr>
      <w:kern w:val="2"/>
      <w:sz w:val="21"/>
      <w:szCs w:val="24"/>
    </w:rPr>
  </w:style>
  <w:style w:type="character" w:customStyle="1" w:styleId="82">
    <w:name w:val="页脚 字符"/>
    <w:link w:val="27"/>
    <w:qFormat/>
    <w:uiPriority w:val="99"/>
    <w:rPr>
      <w:kern w:val="2"/>
      <w:sz w:val="18"/>
      <w:szCs w:val="18"/>
    </w:rPr>
  </w:style>
  <w:style w:type="character" w:customStyle="1" w:styleId="83">
    <w:name w:val="font161"/>
    <w:qFormat/>
    <w:uiPriority w:val="0"/>
    <w:rPr>
      <w:rFonts w:ascii="Tahoma" w:hAnsi="Tahoma"/>
      <w:b/>
      <w:bCs/>
      <w:sz w:val="32"/>
      <w:szCs w:val="32"/>
    </w:rPr>
  </w:style>
  <w:style w:type="character" w:customStyle="1" w:styleId="84">
    <w:name w:val="批注框文本 字符"/>
    <w:link w:val="26"/>
    <w:qFormat/>
    <w:uiPriority w:val="0"/>
    <w:rPr>
      <w:rFonts w:ascii="Tahoma" w:hAnsi="Tahoma"/>
      <w:kern w:val="2"/>
      <w:sz w:val="18"/>
      <w:szCs w:val="18"/>
    </w:rPr>
  </w:style>
  <w:style w:type="character" w:customStyle="1" w:styleId="85">
    <w:name w:val="样式 标题 1 + 小四 Char"/>
    <w:basedOn w:val="77"/>
    <w:qFormat/>
    <w:uiPriority w:val="0"/>
    <w:rPr>
      <w:rFonts w:ascii="仿宋_GB2312" w:hAnsi="Tahoma" w:eastAsia="黑体"/>
      <w:kern w:val="2"/>
      <w:sz w:val="32"/>
      <w:szCs w:val="24"/>
      <w:lang w:val="en-US" w:eastAsia="zh-CN" w:bidi="ar-SA"/>
    </w:rPr>
  </w:style>
  <w:style w:type="character" w:customStyle="1" w:styleId="86">
    <w:name w:val="Char Char3"/>
    <w:qFormat/>
    <w:uiPriority w:val="0"/>
    <w:rPr>
      <w:rFonts w:ascii="Tahoma" w:hAnsi="Tahoma" w:eastAsia="宋体"/>
      <w:b/>
      <w:bCs/>
      <w:kern w:val="44"/>
      <w:sz w:val="44"/>
      <w:szCs w:val="44"/>
      <w:lang w:val="en-US" w:eastAsia="zh-CN" w:bidi="ar-SA"/>
    </w:rPr>
  </w:style>
  <w:style w:type="character" w:customStyle="1" w:styleId="87">
    <w:name w:val="正文文本 3 Char"/>
    <w:qFormat/>
    <w:uiPriority w:val="0"/>
    <w:rPr>
      <w:rFonts w:ascii="宋体" w:hAnsi="Tahoma" w:eastAsia="宋体"/>
      <w:kern w:val="2"/>
      <w:sz w:val="24"/>
      <w:szCs w:val="20"/>
      <w:lang w:val="en-US" w:eastAsia="zh-CN" w:bidi="ar-SA"/>
    </w:rPr>
  </w:style>
  <w:style w:type="character" w:customStyle="1" w:styleId="88">
    <w:name w:val="正文文本缩进 2 字符"/>
    <w:link w:val="25"/>
    <w:qFormat/>
    <w:uiPriority w:val="0"/>
    <w:rPr>
      <w:rFonts w:eastAsia="仿宋_GB2312"/>
      <w:snapToGrid w:val="0"/>
      <w:kern w:val="2"/>
      <w:sz w:val="24"/>
      <w:szCs w:val="24"/>
    </w:rPr>
  </w:style>
  <w:style w:type="character" w:customStyle="1" w:styleId="89">
    <w:name w:val="文字 Char"/>
    <w:link w:val="90"/>
    <w:qFormat/>
    <w:uiPriority w:val="0"/>
    <w:rPr>
      <w:rFonts w:ascii="仿宋_GB2312" w:eastAsia="仿宋_GB2312"/>
      <w:sz w:val="24"/>
      <w:szCs w:val="21"/>
    </w:rPr>
  </w:style>
  <w:style w:type="paragraph" w:customStyle="1" w:styleId="90">
    <w:name w:val="文字"/>
    <w:basedOn w:val="1"/>
    <w:link w:val="89"/>
    <w:qFormat/>
    <w:uiPriority w:val="0"/>
    <w:pPr>
      <w:spacing w:afterLines="50" w:line="300" w:lineRule="auto"/>
      <w:ind w:firstLine="200" w:firstLineChars="200"/>
    </w:pPr>
    <w:rPr>
      <w:rFonts w:ascii="仿宋_GB2312" w:eastAsia="仿宋_GB2312"/>
      <w:kern w:val="0"/>
      <w:sz w:val="24"/>
      <w:szCs w:val="21"/>
    </w:rPr>
  </w:style>
  <w:style w:type="character" w:customStyle="1" w:styleId="91">
    <w:name w:val="表号 图号 Char"/>
    <w:link w:val="92"/>
    <w:qFormat/>
    <w:locked/>
    <w:uiPriority w:val="0"/>
    <w:rPr>
      <w:rFonts w:eastAsia="黑体"/>
      <w:sz w:val="24"/>
      <w:szCs w:val="24"/>
    </w:rPr>
  </w:style>
  <w:style w:type="paragraph" w:customStyle="1" w:styleId="92">
    <w:name w:val="表号 图号"/>
    <w:basedOn w:val="1"/>
    <w:link w:val="91"/>
    <w:qFormat/>
    <w:uiPriority w:val="0"/>
    <w:pPr>
      <w:spacing w:line="520" w:lineRule="exact"/>
      <w:jc w:val="center"/>
    </w:pPr>
    <w:rPr>
      <w:rFonts w:eastAsia="黑体"/>
      <w:kern w:val="0"/>
      <w:sz w:val="24"/>
    </w:rPr>
  </w:style>
  <w:style w:type="character" w:customStyle="1" w:styleId="93">
    <w:name w:val="列表段落 字符"/>
    <w:link w:val="94"/>
    <w:qFormat/>
    <w:uiPriority w:val="34"/>
    <w:rPr>
      <w:rFonts w:ascii="Calibri" w:hAnsi="Calibri"/>
      <w:kern w:val="2"/>
      <w:sz w:val="21"/>
      <w:szCs w:val="22"/>
    </w:rPr>
  </w:style>
  <w:style w:type="paragraph" w:styleId="94">
    <w:name w:val="List Paragraph"/>
    <w:basedOn w:val="1"/>
    <w:link w:val="93"/>
    <w:qFormat/>
    <w:uiPriority w:val="34"/>
    <w:pPr>
      <w:spacing w:beforeLines="50" w:line="360" w:lineRule="auto"/>
      <w:ind w:firstLine="420" w:firstLineChars="200"/>
    </w:pPr>
    <w:rPr>
      <w:rFonts w:ascii="Calibri" w:hAnsi="Calibri"/>
      <w:szCs w:val="22"/>
    </w:rPr>
  </w:style>
  <w:style w:type="paragraph" w:customStyle="1" w:styleId="95">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6">
    <w:name w:val="Char Char Char"/>
    <w:basedOn w:val="1"/>
    <w:qFormat/>
    <w:uiPriority w:val="0"/>
    <w:rPr>
      <w:rFonts w:ascii="Tahoma" w:hAnsi="Tahoma"/>
      <w:sz w:val="24"/>
      <w:szCs w:val="20"/>
    </w:rPr>
  </w:style>
  <w:style w:type="paragraph" w:customStyle="1" w:styleId="97">
    <w:name w:val="Char"/>
    <w:basedOn w:val="1"/>
    <w:qFormat/>
    <w:uiPriority w:val="0"/>
  </w:style>
  <w:style w:type="paragraph" w:customStyle="1" w:styleId="98">
    <w:name w:val="默认段落字体 Para Char"/>
    <w:basedOn w:val="1"/>
    <w:qFormat/>
    <w:uiPriority w:val="0"/>
    <w:pPr>
      <w:spacing w:line="360" w:lineRule="auto"/>
      <w:ind w:firstLine="200" w:firstLineChars="200"/>
    </w:pPr>
    <w:rPr>
      <w:rFonts w:ascii="宋体" w:hAnsi="宋体" w:cs="宋体"/>
      <w:sz w:val="24"/>
    </w:rPr>
  </w:style>
  <w:style w:type="paragraph" w:customStyle="1" w:styleId="99">
    <w:name w:val="表格文字"/>
    <w:basedOn w:val="1"/>
    <w:qFormat/>
    <w:uiPriority w:val="0"/>
    <w:pPr>
      <w:adjustRightInd w:val="0"/>
      <w:spacing w:line="420" w:lineRule="atLeast"/>
      <w:jc w:val="left"/>
      <w:textAlignment w:val="baseline"/>
    </w:pPr>
    <w:rPr>
      <w:kern w:val="0"/>
      <w:szCs w:val="20"/>
    </w:rPr>
  </w:style>
  <w:style w:type="paragraph" w:customStyle="1" w:styleId="100">
    <w:name w:val="xl31"/>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01">
    <w:name w:val="Char Char Char1 Char"/>
    <w:basedOn w:val="3"/>
    <w:next w:val="1"/>
    <w:qFormat/>
    <w:uiPriority w:val="0"/>
    <w:pPr>
      <w:snapToGrid w:val="0"/>
      <w:spacing w:before="120" w:after="120" w:line="240" w:lineRule="auto"/>
      <w:jc w:val="left"/>
    </w:pPr>
    <w:rPr>
      <w:bCs w:val="0"/>
      <w:szCs w:val="20"/>
    </w:rPr>
  </w:style>
  <w:style w:type="paragraph" w:customStyle="1" w:styleId="102">
    <w:name w:val="xl27"/>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03">
    <w:name w:val="Char2"/>
    <w:basedOn w:val="1"/>
    <w:qFormat/>
    <w:uiPriority w:val="0"/>
    <w:rPr>
      <w:rFonts w:ascii="Tahoma" w:hAnsi="Tahoma"/>
      <w:sz w:val="24"/>
      <w:szCs w:val="20"/>
    </w:rPr>
  </w:style>
  <w:style w:type="paragraph" w:customStyle="1" w:styleId="104">
    <w:name w:val="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05">
    <w:name w:val="标题3"/>
    <w:basedOn w:val="4"/>
    <w:qFormat/>
    <w:uiPriority w:val="0"/>
    <w:pPr>
      <w:adjustRightInd w:val="0"/>
      <w:snapToGrid w:val="0"/>
      <w:spacing w:beforeLines="100" w:afterLines="100" w:line="240" w:lineRule="auto"/>
      <w:jc w:val="center"/>
    </w:pPr>
    <w:rPr>
      <w:rFonts w:eastAsia="黑体"/>
      <w:sz w:val="28"/>
      <w:szCs w:val="20"/>
    </w:rPr>
  </w:style>
  <w:style w:type="paragraph" w:customStyle="1" w:styleId="106">
    <w:name w:val="表格"/>
    <w:basedOn w:val="1"/>
    <w:qFormat/>
    <w:uiPriority w:val="0"/>
    <w:pPr>
      <w:jc w:val="center"/>
      <w:textAlignment w:val="center"/>
    </w:pPr>
    <w:rPr>
      <w:rFonts w:ascii="华文细黑" w:hAnsi="华文细黑"/>
      <w:kern w:val="0"/>
      <w:szCs w:val="20"/>
    </w:rPr>
  </w:style>
  <w:style w:type="paragraph" w:customStyle="1" w:styleId="107">
    <w:name w:val="目录2"/>
    <w:basedOn w:val="1"/>
    <w:qFormat/>
    <w:uiPriority w:val="0"/>
    <w:pPr>
      <w:adjustRightInd w:val="0"/>
      <w:spacing w:line="420" w:lineRule="atLeast"/>
      <w:ind w:left="227"/>
      <w:textAlignment w:val="baseline"/>
    </w:pPr>
    <w:rPr>
      <w:kern w:val="0"/>
      <w:szCs w:val="20"/>
    </w:rPr>
  </w:style>
  <w:style w:type="paragraph" w:customStyle="1" w:styleId="108">
    <w:name w:val="样式 (中文) 黑体 四号 加粗 居中 行距: 多倍行距 1.25 字行"/>
    <w:basedOn w:val="43"/>
    <w:qFormat/>
    <w:uiPriority w:val="0"/>
    <w:pPr>
      <w:spacing w:line="300" w:lineRule="auto"/>
      <w:jc w:val="center"/>
    </w:pPr>
    <w:rPr>
      <w:rFonts w:eastAsia="黑体" w:cs="宋体"/>
      <w:b/>
      <w:bCs/>
      <w:sz w:val="28"/>
    </w:rPr>
  </w:style>
  <w:style w:type="paragraph" w:customStyle="1" w:styleId="109">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8"/>
      <w:szCs w:val="28"/>
    </w:rPr>
  </w:style>
  <w:style w:type="paragraph" w:customStyle="1" w:styleId="11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111">
    <w:name w:val="样式 (中文) 黑体 三号 加粗 居中 行距: 多倍行距 1.25 字行"/>
    <w:basedOn w:val="2"/>
    <w:qFormat/>
    <w:uiPriority w:val="0"/>
    <w:pPr>
      <w:widowControl/>
      <w:spacing w:line="300" w:lineRule="auto"/>
      <w:jc w:val="center"/>
    </w:pPr>
    <w:rPr>
      <w:rFonts w:eastAsia="黑体" w:cs="宋体"/>
      <w:b w:val="0"/>
      <w:bCs w:val="0"/>
      <w:sz w:val="32"/>
    </w:rPr>
  </w:style>
  <w:style w:type="paragraph" w:customStyle="1" w:styleId="112">
    <w:name w:val="Char Char Char Char"/>
    <w:basedOn w:val="1"/>
    <w:qFormat/>
    <w:uiPriority w:val="0"/>
  </w:style>
  <w:style w:type="paragraph" w:customStyle="1" w:styleId="113">
    <w:name w:val="格式2"/>
    <w:qFormat/>
    <w:uiPriority w:val="99"/>
    <w:pPr>
      <w:widowControl w:val="0"/>
      <w:adjustRightInd w:val="0"/>
      <w:snapToGrid w:val="0"/>
      <w:spacing w:before="50" w:line="440" w:lineRule="exact"/>
      <w:jc w:val="both"/>
    </w:pPr>
    <w:rPr>
      <w:rFonts w:ascii="Times New Roman" w:hAnsi="Times New Roman" w:eastAsia="宋体" w:cs="Times New Roman"/>
      <w:snapToGrid w:val="0"/>
      <w:sz w:val="24"/>
      <w:lang w:val="en-US" w:eastAsia="zh-CN" w:bidi="ar-SA"/>
    </w:rPr>
  </w:style>
  <w:style w:type="paragraph" w:customStyle="1" w:styleId="114">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rPr>
  </w:style>
  <w:style w:type="paragraph" w:customStyle="1" w:styleId="115">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16">
    <w:name w:val="Char Char Char1 Char Char Char Char Char Char Char Char Char Char Char Char Char Char Char Char Char Char Char"/>
    <w:basedOn w:val="1"/>
    <w:qFormat/>
    <w:uiPriority w:val="0"/>
  </w:style>
  <w:style w:type="paragraph" w:styleId="117">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8">
    <w:name w:val="Char Char Char Char Char Char Char"/>
    <w:basedOn w:val="1"/>
    <w:qFormat/>
    <w:uiPriority w:val="0"/>
    <w:rPr>
      <w:sz w:val="28"/>
      <w:szCs w:val="20"/>
    </w:rPr>
  </w:style>
  <w:style w:type="paragraph" w:customStyle="1" w:styleId="119">
    <w:name w:val="格式4"/>
    <w:basedOn w:val="1"/>
    <w:qFormat/>
    <w:uiPriority w:val="0"/>
    <w:pPr>
      <w:spacing w:line="420" w:lineRule="exact"/>
      <w:ind w:left="990" w:leftChars="300" w:hanging="360" w:hangingChars="150"/>
    </w:pPr>
    <w:rPr>
      <w:rFonts w:ascii="宋体" w:hAnsi="宋体"/>
      <w:color w:val="000000"/>
      <w:sz w:val="24"/>
      <w:szCs w:val="20"/>
    </w:rPr>
  </w:style>
  <w:style w:type="paragraph" w:customStyle="1" w:styleId="120">
    <w:name w:val="样式 标题 3 + 段前: 7.8 磅"/>
    <w:basedOn w:val="4"/>
    <w:qFormat/>
    <w:uiPriority w:val="0"/>
    <w:pPr>
      <w:keepNext w:val="0"/>
      <w:keepLines w:val="0"/>
      <w:spacing w:before="156" w:after="0" w:line="360" w:lineRule="auto"/>
      <w:ind w:left="2220" w:hanging="420"/>
    </w:pPr>
    <w:rPr>
      <w:rFonts w:cs="宋体"/>
      <w:b w:val="0"/>
      <w:bCs w:val="0"/>
      <w:sz w:val="24"/>
      <w:szCs w:val="20"/>
    </w:rPr>
  </w:style>
  <w:style w:type="paragraph" w:customStyle="1" w:styleId="121">
    <w:name w:val="Char Char Char Char Char Char"/>
    <w:basedOn w:val="1"/>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122">
    <w:name w:val="z-窗体底端1"/>
    <w:basedOn w:val="1"/>
    <w:next w:val="1"/>
    <w:qFormat/>
    <w:uiPriority w:val="0"/>
    <w:pPr>
      <w:widowControl/>
      <w:pBdr>
        <w:top w:val="single" w:color="auto" w:sz="6" w:space="1"/>
      </w:pBdr>
      <w:jc w:val="center"/>
    </w:pPr>
    <w:rPr>
      <w:rFonts w:ascii="Arial" w:hAnsi="Arial" w:cs="Arial"/>
      <w:vanish/>
      <w:color w:val="000000"/>
      <w:kern w:val="0"/>
      <w:sz w:val="16"/>
      <w:szCs w:val="16"/>
    </w:rPr>
  </w:style>
  <w:style w:type="paragraph" w:customStyle="1" w:styleId="123">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8"/>
      <w:szCs w:val="28"/>
    </w:rPr>
  </w:style>
  <w:style w:type="paragraph" w:customStyle="1" w:styleId="124">
    <w:name w:val="样式1"/>
    <w:basedOn w:val="1"/>
    <w:qFormat/>
    <w:uiPriority w:val="0"/>
    <w:pPr>
      <w:spacing w:before="120" w:after="120" w:line="300" w:lineRule="auto"/>
    </w:pPr>
    <w:rPr>
      <w:rFonts w:ascii="宋体" w:hAnsi="宋体"/>
      <w:b/>
      <w:sz w:val="24"/>
      <w:szCs w:val="20"/>
    </w:rPr>
  </w:style>
  <w:style w:type="paragraph" w:customStyle="1" w:styleId="125">
    <w:name w:val="内正文"/>
    <w:basedOn w:val="1"/>
    <w:qFormat/>
    <w:uiPriority w:val="0"/>
    <w:pPr>
      <w:ind w:firstLine="420"/>
    </w:pPr>
    <w:rPr>
      <w:rFonts w:eastAsia="文鼎CS书宋二"/>
    </w:rPr>
  </w:style>
  <w:style w:type="paragraph" w:customStyle="1" w:styleId="126">
    <w:name w:val="纯文本1"/>
    <w:basedOn w:val="1"/>
    <w:qFormat/>
    <w:uiPriority w:val="0"/>
    <w:pPr>
      <w:adjustRightInd w:val="0"/>
      <w:textAlignment w:val="baseline"/>
    </w:pPr>
    <w:rPr>
      <w:rFonts w:ascii="宋体" w:hAnsi="Courier New"/>
      <w:szCs w:val="20"/>
    </w:rPr>
  </w:style>
  <w:style w:type="paragraph" w:customStyle="1" w:styleId="127">
    <w:name w:val="简单回函地址"/>
    <w:basedOn w:val="1"/>
    <w:qFormat/>
    <w:uiPriority w:val="0"/>
  </w:style>
  <w:style w:type="paragraph" w:customStyle="1" w:styleId="128">
    <w:name w:val="Char Char Char1 Char Char Char Char Char Char Char Char Char Char Char Char Char Char Char Char Char Char Char1"/>
    <w:basedOn w:val="1"/>
    <w:qFormat/>
    <w:uiPriority w:val="0"/>
  </w:style>
  <w:style w:type="paragraph" w:customStyle="1" w:styleId="12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30">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131">
    <w:name w:val="Char Char Char Char Char Char1 Char"/>
    <w:basedOn w:val="1"/>
    <w:qFormat/>
    <w:uiPriority w:val="0"/>
  </w:style>
  <w:style w:type="paragraph" w:customStyle="1" w:styleId="132">
    <w:name w:val="xl24"/>
    <w:basedOn w:val="1"/>
    <w:qFormat/>
    <w:uiPriority w:val="0"/>
    <w:pPr>
      <w:widowControl/>
      <w:spacing w:before="100" w:beforeAutospacing="1" w:after="100" w:afterAutospacing="1"/>
      <w:jc w:val="center"/>
    </w:pPr>
    <w:rPr>
      <w:rFonts w:ascii="宋体" w:hAnsi="宋体"/>
      <w:kern w:val="0"/>
      <w:sz w:val="24"/>
    </w:rPr>
  </w:style>
  <w:style w:type="paragraph" w:customStyle="1" w:styleId="133">
    <w:name w:val="xl26"/>
    <w:basedOn w:val="1"/>
    <w:qFormat/>
    <w:uiPriority w:val="0"/>
    <w:pPr>
      <w:widowControl/>
      <w:spacing w:before="100" w:beforeAutospacing="1" w:after="100" w:afterAutospacing="1"/>
      <w:jc w:val="left"/>
    </w:pPr>
    <w:rPr>
      <w:rFonts w:ascii="宋体" w:hAnsi="宋体"/>
      <w:kern w:val="0"/>
      <w:sz w:val="28"/>
      <w:szCs w:val="28"/>
    </w:rPr>
  </w:style>
  <w:style w:type="paragraph" w:customStyle="1" w:styleId="134">
    <w:name w:val="表蕊"/>
    <w:basedOn w:val="1"/>
    <w:qFormat/>
    <w:uiPriority w:val="0"/>
    <w:pPr>
      <w:adjustRightInd w:val="0"/>
      <w:spacing w:line="320" w:lineRule="atLeast"/>
      <w:jc w:val="left"/>
    </w:pPr>
    <w:rPr>
      <w:rFonts w:eastAsia="楷体_GB2312"/>
      <w:spacing w:val="-10"/>
      <w:kern w:val="0"/>
      <w:szCs w:val="20"/>
    </w:rPr>
  </w:style>
  <w:style w:type="paragraph" w:customStyle="1" w:styleId="135">
    <w:name w:val="_Style 20"/>
    <w:basedOn w:val="1"/>
    <w:qFormat/>
    <w:uiPriority w:val="0"/>
  </w:style>
  <w:style w:type="paragraph" w:customStyle="1" w:styleId="136">
    <w:name w:val="正文括号编号"/>
    <w:basedOn w:val="1"/>
    <w:next w:val="1"/>
    <w:qFormat/>
    <w:uiPriority w:val="0"/>
    <w:pPr>
      <w:tabs>
        <w:tab w:val="left" w:pos="838"/>
      </w:tabs>
      <w:ind w:left="838" w:hanging="420"/>
    </w:pPr>
    <w:rPr>
      <w:sz w:val="24"/>
    </w:rPr>
  </w:style>
  <w:style w:type="paragraph" w:customStyle="1" w:styleId="137">
    <w:name w:val="xl25"/>
    <w:basedOn w:val="1"/>
    <w:qFormat/>
    <w:uiPriority w:val="0"/>
    <w:pPr>
      <w:widowControl/>
      <w:spacing w:before="100" w:beforeAutospacing="1" w:after="100" w:afterAutospacing="1"/>
      <w:jc w:val="center"/>
    </w:pPr>
    <w:rPr>
      <w:rFonts w:hint="eastAsia" w:ascii="黑体" w:hAnsi="宋体" w:eastAsia="黑体"/>
      <w:kern w:val="0"/>
      <w:sz w:val="44"/>
      <w:szCs w:val="44"/>
    </w:rPr>
  </w:style>
  <w:style w:type="paragraph" w:customStyle="1" w:styleId="138">
    <w:name w:val="格式1"/>
    <w:basedOn w:val="1"/>
    <w:qFormat/>
    <w:uiPriority w:val="0"/>
    <w:pPr>
      <w:spacing w:beforeLines="50"/>
      <w:jc w:val="center"/>
    </w:pPr>
    <w:rPr>
      <w:rFonts w:ascii="黑体" w:hAnsi="宋体" w:eastAsia="黑体"/>
      <w:b/>
      <w:bCs/>
      <w:color w:val="000000"/>
      <w:sz w:val="32"/>
      <w:szCs w:val="20"/>
    </w:rPr>
  </w:style>
  <w:style w:type="paragraph" w:customStyle="1" w:styleId="139">
    <w:name w:val="标题1"/>
    <w:basedOn w:val="1"/>
    <w:next w:val="1"/>
    <w:qFormat/>
    <w:uiPriority w:val="0"/>
    <w:pPr>
      <w:tabs>
        <w:tab w:val="left" w:pos="9193"/>
        <w:tab w:val="left" w:pos="9827"/>
      </w:tabs>
      <w:autoSpaceDE w:val="0"/>
      <w:autoSpaceDN w:val="0"/>
      <w:snapToGrid w:val="0"/>
      <w:spacing w:line="700" w:lineRule="atLeast"/>
      <w:jc w:val="center"/>
    </w:pPr>
    <w:rPr>
      <w:rFonts w:eastAsia="方正小标宋_GBK"/>
      <w:snapToGrid w:val="0"/>
      <w:kern w:val="0"/>
      <w:sz w:val="44"/>
      <w:szCs w:val="20"/>
    </w:rPr>
  </w:style>
  <w:style w:type="paragraph" w:customStyle="1" w:styleId="140">
    <w:name w:val="副 标 题"/>
    <w:basedOn w:val="1"/>
    <w:qFormat/>
    <w:uiPriority w:val="0"/>
    <w:pPr>
      <w:widowControl/>
      <w:jc w:val="center"/>
    </w:pPr>
    <w:rPr>
      <w:rFonts w:eastAsia="仿宋" w:cs="宋体"/>
      <w:sz w:val="24"/>
    </w:rPr>
  </w:style>
  <w:style w:type="paragraph" w:customStyle="1" w:styleId="141">
    <w:name w:val="样式 标题 2 + 居中 行距: 多倍行距 1.25 字行"/>
    <w:basedOn w:val="3"/>
    <w:qFormat/>
    <w:uiPriority w:val="0"/>
    <w:pPr>
      <w:spacing w:line="300" w:lineRule="auto"/>
    </w:pPr>
    <w:rPr>
      <w:rFonts w:ascii="隶书" w:eastAsia="隶书" w:cs="宋体"/>
      <w:b w:val="0"/>
      <w:sz w:val="28"/>
      <w:szCs w:val="20"/>
    </w:rPr>
  </w:style>
  <w:style w:type="paragraph" w:customStyle="1" w:styleId="142">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43">
    <w:name w:val="样式17"/>
    <w:basedOn w:val="1"/>
    <w:qFormat/>
    <w:uiPriority w:val="0"/>
    <w:pPr>
      <w:adjustRightInd w:val="0"/>
      <w:snapToGrid w:val="0"/>
      <w:spacing w:before="120" w:after="120"/>
    </w:pPr>
    <w:rPr>
      <w:sz w:val="24"/>
    </w:rPr>
  </w:style>
  <w:style w:type="paragraph" w:customStyle="1" w:styleId="144">
    <w:name w:val="汇编正文"/>
    <w:basedOn w:val="1"/>
    <w:qFormat/>
    <w:uiPriority w:val="0"/>
    <w:pPr>
      <w:widowControl/>
      <w:spacing w:line="300" w:lineRule="auto"/>
      <w:ind w:firstLine="200" w:firstLineChars="200"/>
      <w:jc w:val="left"/>
    </w:pPr>
    <w:rPr>
      <w:rFonts w:cs="宋体"/>
      <w:szCs w:val="21"/>
    </w:rPr>
  </w:style>
  <w:style w:type="paragraph" w:customStyle="1" w:styleId="145">
    <w:name w:val="xl42"/>
    <w:basedOn w:val="1"/>
    <w:qFormat/>
    <w:uiPriority w:val="0"/>
    <w:pPr>
      <w:widowControl/>
      <w:pBdr>
        <w:top w:val="single" w:color="auto" w:sz="4" w:space="0"/>
        <w:left w:val="single" w:color="auto" w:sz="4" w:space="0"/>
        <w:bottom w:val="single" w:color="auto" w:sz="4" w:space="0"/>
        <w:right w:val="single" w:color="auto" w:sz="4" w:space="0"/>
      </w:pBdr>
      <w:tabs>
        <w:tab w:val="left" w:pos="480"/>
      </w:tabs>
      <w:spacing w:before="100" w:beforeAutospacing="1" w:after="100" w:afterAutospacing="1"/>
      <w:jc w:val="left"/>
    </w:pPr>
    <w:rPr>
      <w:rFonts w:ascii="Arial Unicode MS" w:hAnsi="Arial Unicode MS" w:eastAsia="Arial Unicode MS"/>
      <w:kern w:val="0"/>
      <w:sz w:val="18"/>
      <w:szCs w:val="20"/>
    </w:rPr>
  </w:style>
  <w:style w:type="paragraph" w:customStyle="1" w:styleId="146">
    <w:name w:val="格式10"/>
    <w:basedOn w:val="1"/>
    <w:qFormat/>
    <w:uiPriority w:val="0"/>
    <w:pPr>
      <w:spacing w:line="360" w:lineRule="exact"/>
      <w:ind w:left="480"/>
    </w:pPr>
    <w:rPr>
      <w:sz w:val="24"/>
    </w:rPr>
  </w:style>
  <w:style w:type="paragraph" w:customStyle="1" w:styleId="147">
    <w:name w:val="样式 标题 1 + 小四"/>
    <w:basedOn w:val="2"/>
    <w:qFormat/>
    <w:uiPriority w:val="0"/>
    <w:pPr>
      <w:keepLines w:val="0"/>
      <w:spacing w:before="0" w:after="0" w:line="360" w:lineRule="auto"/>
      <w:jc w:val="center"/>
    </w:pPr>
    <w:rPr>
      <w:rFonts w:ascii="仿宋_GB2312" w:eastAsia="黑体"/>
      <w:b w:val="0"/>
      <w:bCs w:val="0"/>
      <w:kern w:val="2"/>
      <w:sz w:val="32"/>
      <w:szCs w:val="24"/>
    </w:rPr>
  </w:style>
  <w:style w:type="paragraph" w:customStyle="1" w:styleId="148">
    <w:name w:val="1"/>
    <w:basedOn w:val="1"/>
    <w:next w:val="1"/>
    <w:qFormat/>
    <w:uiPriority w:val="0"/>
  </w:style>
  <w:style w:type="paragraph" w:customStyle="1" w:styleId="149">
    <w:name w:val="z-窗体顶端1"/>
    <w:basedOn w:val="1"/>
    <w:next w:val="1"/>
    <w:qFormat/>
    <w:uiPriority w:val="0"/>
    <w:pPr>
      <w:widowControl/>
      <w:pBdr>
        <w:bottom w:val="single" w:color="auto" w:sz="6" w:space="1"/>
      </w:pBdr>
      <w:jc w:val="center"/>
    </w:pPr>
    <w:rPr>
      <w:rFonts w:ascii="Arial" w:hAnsi="Arial" w:cs="Arial"/>
      <w:vanish/>
      <w:color w:val="000000"/>
      <w:kern w:val="0"/>
      <w:sz w:val="16"/>
      <w:szCs w:val="16"/>
    </w:rPr>
  </w:style>
  <w:style w:type="paragraph" w:customStyle="1" w:styleId="150">
    <w:name w:val="格式３"/>
    <w:basedOn w:val="1"/>
    <w:qFormat/>
    <w:uiPriority w:val="0"/>
    <w:pPr>
      <w:spacing w:line="420" w:lineRule="exact"/>
      <w:ind w:left="600" w:hanging="600" w:hangingChars="250"/>
    </w:pPr>
    <w:rPr>
      <w:rFonts w:ascii="宋体" w:hAnsi="宋体"/>
      <w:color w:val="000000"/>
      <w:sz w:val="24"/>
      <w:szCs w:val="20"/>
    </w:rPr>
  </w:style>
  <w:style w:type="paragraph" w:customStyle="1" w:styleId="151">
    <w:name w:val="样式 标题 2 + 行距: 多倍行距 1.25 字行"/>
    <w:basedOn w:val="3"/>
    <w:qFormat/>
    <w:uiPriority w:val="0"/>
    <w:pPr>
      <w:spacing w:line="300" w:lineRule="auto"/>
    </w:pPr>
    <w:rPr>
      <w:rFonts w:cs="宋体"/>
      <w:b w:val="0"/>
      <w:sz w:val="28"/>
      <w:szCs w:val="20"/>
    </w:rPr>
  </w:style>
  <w:style w:type="paragraph" w:customStyle="1" w:styleId="152">
    <w:name w:val="默认段落字体 Para Char Char Char Char Char Char Char"/>
    <w:basedOn w:val="13"/>
    <w:qFormat/>
    <w:uiPriority w:val="0"/>
    <w:pPr>
      <w:adjustRightInd w:val="0"/>
      <w:spacing w:line="436" w:lineRule="exact"/>
      <w:ind w:left="357"/>
      <w:jc w:val="left"/>
      <w:outlineLvl w:val="3"/>
    </w:pPr>
    <w:rPr>
      <w:rFonts w:ascii="Tahoma" w:hAnsi="Tahoma"/>
      <w:b/>
      <w:sz w:val="24"/>
    </w:rPr>
  </w:style>
  <w:style w:type="paragraph" w:customStyle="1" w:styleId="153">
    <w:name w:val="样式 样式 (中文) 黑体 四号 加粗 居中 行距: 多倍行距 1.25 字行 + 左侧:  2 字符"/>
    <w:basedOn w:val="3"/>
    <w:qFormat/>
    <w:uiPriority w:val="0"/>
    <w:pPr>
      <w:ind w:left="400"/>
    </w:pPr>
    <w:rPr>
      <w:bCs w:val="0"/>
      <w:szCs w:val="20"/>
    </w:rPr>
  </w:style>
  <w:style w:type="paragraph" w:customStyle="1" w:styleId="154">
    <w:name w:val="Table Paragraph"/>
    <w:basedOn w:val="1"/>
    <w:qFormat/>
    <w:uiPriority w:val="1"/>
    <w:pPr>
      <w:autoSpaceDE w:val="0"/>
      <w:autoSpaceDN w:val="0"/>
      <w:adjustRightInd w:val="0"/>
      <w:jc w:val="left"/>
    </w:pPr>
    <w:rPr>
      <w:kern w:val="0"/>
      <w:sz w:val="24"/>
    </w:rPr>
  </w:style>
  <w:style w:type="character" w:customStyle="1" w:styleId="155">
    <w:name w:val="标题 2 Char1"/>
    <w:qFormat/>
    <w:locked/>
    <w:uiPriority w:val="0"/>
    <w:rPr>
      <w:rFonts w:ascii="Arial" w:hAnsi="Arial" w:eastAsia="黑体"/>
      <w:b/>
      <w:bCs/>
      <w:kern w:val="2"/>
      <w:sz w:val="32"/>
      <w:szCs w:val="32"/>
    </w:rPr>
  </w:style>
  <w:style w:type="paragraph" w:customStyle="1" w:styleId="156">
    <w:name w:val="样式 样式 标题 2 + Times New Roman 居中 段前: 0 磅 段后: 0 磅 行距: 单倍行距 + 段前: 2..."/>
    <w:basedOn w:val="1"/>
    <w:qFormat/>
    <w:uiPriority w:val="0"/>
    <w:pPr>
      <w:keepNext/>
      <w:keepLines/>
      <w:adjustRightInd w:val="0"/>
      <w:snapToGrid w:val="0"/>
      <w:spacing w:beforeLines="150" w:afterLines="100"/>
      <w:jc w:val="center"/>
      <w:outlineLvl w:val="1"/>
    </w:pPr>
    <w:rPr>
      <w:rFonts w:eastAsia="黑体" w:cs="宋体"/>
      <w:b/>
      <w:bCs/>
      <w:sz w:val="32"/>
      <w:szCs w:val="20"/>
    </w:rPr>
  </w:style>
  <w:style w:type="paragraph" w:customStyle="1" w:styleId="157">
    <w:name w:val="标题 2 + Times New Roman 居中 段前: 0 磅 段后: 0 磅 行距: 单倍行距 + 段前..."/>
    <w:basedOn w:val="1"/>
    <w:qFormat/>
    <w:uiPriority w:val="0"/>
    <w:pPr>
      <w:keepNext/>
      <w:keepLines/>
      <w:adjustRightInd w:val="0"/>
      <w:snapToGrid w:val="0"/>
      <w:spacing w:beforeLines="150" w:afterLines="100"/>
      <w:jc w:val="center"/>
      <w:outlineLvl w:val="1"/>
    </w:pPr>
    <w:rPr>
      <w:rFonts w:eastAsia="黑体"/>
      <w:b/>
      <w:bCs/>
      <w:sz w:val="32"/>
      <w:szCs w:val="20"/>
    </w:rPr>
  </w:style>
  <w:style w:type="character" w:customStyle="1" w:styleId="158">
    <w:name w:val="font31"/>
    <w:basedOn w:val="49"/>
    <w:qFormat/>
    <w:uiPriority w:val="0"/>
    <w:rPr>
      <w:rFonts w:hint="eastAsia" w:ascii="楷体" w:hAnsi="楷体" w:eastAsia="楷体" w:cs="楷体"/>
      <w:color w:val="000000"/>
      <w:sz w:val="24"/>
      <w:szCs w:val="24"/>
      <w:u w:val="none"/>
    </w:rPr>
  </w:style>
  <w:style w:type="character" w:customStyle="1" w:styleId="159">
    <w:name w:val="font61"/>
    <w:basedOn w:val="49"/>
    <w:qFormat/>
    <w:uiPriority w:val="0"/>
    <w:rPr>
      <w:rFonts w:hint="eastAsia" w:ascii="楷体" w:hAnsi="楷体" w:eastAsia="楷体" w:cs="楷体"/>
      <w:color w:val="000000"/>
      <w:sz w:val="24"/>
      <w:szCs w:val="24"/>
      <w:u w:val="none"/>
    </w:rPr>
  </w:style>
  <w:style w:type="character" w:customStyle="1" w:styleId="160">
    <w:name w:val="font41"/>
    <w:basedOn w:val="49"/>
    <w:qFormat/>
    <w:uiPriority w:val="0"/>
    <w:rPr>
      <w:rFonts w:hint="eastAsia" w:ascii="楷体" w:hAnsi="楷体" w:eastAsia="楷体" w:cs="楷体"/>
      <w:b/>
      <w:bCs/>
      <w:color w:val="000000"/>
      <w:sz w:val="24"/>
      <w:szCs w:val="24"/>
      <w:u w:val="none"/>
    </w:rPr>
  </w:style>
  <w:style w:type="character" w:customStyle="1" w:styleId="161">
    <w:name w:val="font51"/>
    <w:basedOn w:val="49"/>
    <w:qFormat/>
    <w:uiPriority w:val="0"/>
    <w:rPr>
      <w:rFonts w:hint="eastAsia" w:ascii="楷体" w:hAnsi="楷体" w:eastAsia="楷体" w:cs="楷体"/>
      <w:color w:val="000000"/>
      <w:sz w:val="24"/>
      <w:szCs w:val="24"/>
      <w:u w:val="none"/>
    </w:rPr>
  </w:style>
  <w:style w:type="character" w:customStyle="1" w:styleId="162">
    <w:name w:val="正文文本 字符"/>
    <w:link w:val="16"/>
    <w:qFormat/>
    <w:uiPriority w:val="0"/>
    <w:rPr>
      <w:kern w:val="2"/>
      <w:sz w:val="21"/>
      <w:szCs w:val="24"/>
    </w:rPr>
  </w:style>
  <w:style w:type="character" w:customStyle="1" w:styleId="163">
    <w:name w:val="font21"/>
    <w:basedOn w:val="49"/>
    <w:qFormat/>
    <w:uiPriority w:val="0"/>
    <w:rPr>
      <w:rFonts w:hint="eastAsia" w:ascii="宋体" w:hAnsi="宋体" w:eastAsia="宋体" w:cs="宋体"/>
      <w:color w:val="000000"/>
      <w:sz w:val="22"/>
      <w:szCs w:val="22"/>
      <w:u w:val="none"/>
    </w:rPr>
  </w:style>
  <w:style w:type="paragraph" w:customStyle="1" w:styleId="164">
    <w:name w:val="zw123"/>
    <w:basedOn w:val="1"/>
    <w:qFormat/>
    <w:uiPriority w:val="99"/>
    <w:pPr>
      <w:autoSpaceDE w:val="0"/>
      <w:autoSpaceDN w:val="0"/>
      <w:adjustRightInd w:val="0"/>
      <w:spacing w:line="360" w:lineRule="auto"/>
      <w:ind w:firstLine="480" w:firstLineChars="200"/>
    </w:pPr>
    <w:rPr>
      <w:rFonts w:ascii="宋体" w:hAnsi="宋体"/>
      <w:sz w:val="22"/>
      <w:szCs w:val="22"/>
    </w:rPr>
  </w:style>
  <w:style w:type="table" w:customStyle="1" w:styleId="165">
    <w:name w:val="Table Normal"/>
    <w:unhideWhenUsed/>
    <w:qFormat/>
    <w:uiPriority w:val="2"/>
    <w:tblPr>
      <w:tblCellMar>
        <w:top w:w="0" w:type="dxa"/>
        <w:left w:w="0" w:type="dxa"/>
        <w:bottom w:w="0" w:type="dxa"/>
        <w:right w:w="0" w:type="dxa"/>
      </w:tblCellMar>
    </w:tblPr>
  </w:style>
  <w:style w:type="character" w:customStyle="1" w:styleId="166">
    <w:name w:val="font11"/>
    <w:basedOn w:val="49"/>
    <w:qFormat/>
    <w:uiPriority w:val="0"/>
    <w:rPr>
      <w:rFonts w:hint="eastAsia" w:ascii="宋体" w:hAnsi="宋体" w:eastAsia="宋体" w:cs="宋体"/>
      <w:color w:val="000000"/>
      <w:sz w:val="24"/>
      <w:szCs w:val="24"/>
      <w:u w:val="none"/>
    </w:rPr>
  </w:style>
  <w:style w:type="character" w:customStyle="1" w:styleId="167">
    <w:name w:val="font71"/>
    <w:basedOn w:val="49"/>
    <w:qFormat/>
    <w:uiPriority w:val="0"/>
    <w:rPr>
      <w:rFonts w:hint="default" w:ascii="Times New Roman" w:hAnsi="Times New Roman" w:cs="Times New Roman"/>
      <w:color w:val="000000"/>
      <w:sz w:val="24"/>
      <w:szCs w:val="24"/>
      <w:u w:val="none"/>
    </w:rPr>
  </w:style>
  <w:style w:type="character" w:customStyle="1" w:styleId="168">
    <w:name w:val="font91"/>
    <w:basedOn w:val="49"/>
    <w:qFormat/>
    <w:uiPriority w:val="0"/>
    <w:rPr>
      <w:rFonts w:hint="eastAsia" w:ascii="宋体" w:hAnsi="宋体" w:eastAsia="宋体" w:cs="宋体"/>
      <w:color w:val="000000"/>
      <w:sz w:val="24"/>
      <w:szCs w:val="24"/>
      <w:u w:val="none"/>
    </w:rPr>
  </w:style>
  <w:style w:type="paragraph" w:customStyle="1" w:styleId="169">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170">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71">
    <w:name w:val="正文首行缩进 21"/>
    <w:basedOn w:val="172"/>
    <w:qFormat/>
    <w:uiPriority w:val="99"/>
    <w:pPr>
      <w:spacing w:line="360" w:lineRule="auto"/>
    </w:pPr>
    <w:rPr>
      <w:sz w:val="24"/>
    </w:rPr>
  </w:style>
  <w:style w:type="paragraph" w:customStyle="1" w:styleId="172">
    <w:name w:val="正文文本缩进11"/>
    <w:basedOn w:val="1"/>
    <w:next w:val="173"/>
    <w:qFormat/>
    <w:uiPriority w:val="0"/>
    <w:pPr>
      <w:keepNext w:val="0"/>
      <w:keepLines w:val="0"/>
      <w:widowControl w:val="0"/>
      <w:suppressLineNumbers w:val="0"/>
      <w:spacing w:before="0" w:beforeAutospacing="0" w:after="120" w:afterAutospacing="0"/>
      <w:ind w:left="420" w:right="0"/>
      <w:jc w:val="both"/>
    </w:pPr>
    <w:rPr>
      <w:rFonts w:ascii="Times New Roman" w:hAnsi="Times New Roman" w:eastAsia="宋体" w:cs="Times New Roman"/>
      <w:color w:val="000000"/>
      <w:sz w:val="21"/>
      <w:szCs w:val="24"/>
      <w:lang w:val="en-US" w:eastAsia="zh-CN" w:bidi="ar"/>
    </w:rPr>
  </w:style>
  <w:style w:type="paragraph" w:customStyle="1" w:styleId="173">
    <w:name w:val="寄信人地址11"/>
    <w:basedOn w:val="1"/>
    <w:unhideWhenUsed/>
    <w:qFormat/>
    <w:uiPriority w:val="99"/>
    <w:rPr>
      <w:rFonts w:ascii="Arial" w:hAnsi="Arial"/>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F82B20-51B7-4AC6-A943-BC49B33AA221}">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Company>
  <Pages>67</Pages>
  <Words>3033</Words>
  <Characters>3377</Characters>
  <Lines>428</Lines>
  <Paragraphs>120</Paragraphs>
  <TotalTime>15</TotalTime>
  <ScaleCrop>false</ScaleCrop>
  <LinksUpToDate>false</LinksUpToDate>
  <CharactersWithSpaces>3481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2024-06-27T12:16:00Z</dcterms:created>
  <dc:creator>萝卜家园</dc:creator>
  <cp:lastModifiedBy>方寸zth</cp:lastModifiedBy>
  <cp:lastPrinted>2021-06-03T09:11:00Z</cp:lastPrinted>
  <dcterms:modified xsi:type="dcterms:W3CDTF">2025-03-19T04:22:30Z</dcterms:modified>
  <dc:title>中华人民共和国交通运输部</dc:title>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2B131070C15F433584034DFD047471F7_13</vt:lpwstr>
  </property>
  <property fmtid="{D5CDD505-2E9C-101B-9397-08002B2CF9AE}" pid="4" name="KSOTemplateDocerSaveRecord">
    <vt:lpwstr>eyJoZGlkIjoiYzllZmRlYTM4NmViOGI3NGVjY2NkNTEyNTNkZDYwYzQiLCJ1c2VySWQiOiIxMDYzMjMyNjI2In0=</vt:lpwstr>
  </property>
</Properties>
</file>